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艺术硕士（广播电视）专业学位硕士研究生培养方案（内招）</w:t>
      </w:r>
    </w:p>
    <w:p>
      <w:pPr>
        <w:spacing w:line="52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Developing Plan for Master of Fine Arts (MFA)</w:t>
      </w:r>
    </w:p>
    <w:p>
      <w:pPr>
        <w:spacing w:line="52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in Radio &amp; Television</w:t>
      </w:r>
    </w:p>
    <w:p>
      <w:pPr>
        <w:spacing w:line="520" w:lineRule="exact"/>
        <w:ind w:firstLine="643" w:firstLineChars="200"/>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（135105）</w:t>
      </w:r>
    </w:p>
    <w:p>
      <w:pPr>
        <w:spacing w:line="440" w:lineRule="exact"/>
        <w:ind w:firstLine="562" w:firstLineChars="200"/>
        <w:jc w:val="left"/>
        <w:rPr>
          <w:rFonts w:ascii="仿宋" w:hAnsi="仿宋" w:eastAsia="仿宋"/>
          <w:b/>
          <w:sz w:val="28"/>
          <w:szCs w:val="28"/>
        </w:rPr>
      </w:pPr>
      <w:r>
        <w:rPr>
          <w:rFonts w:hint="eastAsia" w:ascii="仿宋" w:hAnsi="仿宋" w:eastAsia="仿宋"/>
          <w:b/>
          <w:sz w:val="28"/>
          <w:szCs w:val="28"/>
        </w:rPr>
        <w:t>一、培养方向</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1.视听艺术与创作实践 Visual Arts and Creative Practice</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2.播音与主持艺术 Broadcasting and Hosting Arts</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3.文化遗产与创意传播Culture Heritage and Creative Communication</w:t>
      </w:r>
    </w:p>
    <w:p>
      <w:pPr>
        <w:spacing w:line="440" w:lineRule="exact"/>
        <w:ind w:firstLine="560" w:firstLineChars="200"/>
        <w:rPr>
          <w:rFonts w:ascii="仿宋" w:hAnsi="仿宋" w:eastAsia="仿宋"/>
          <w:b/>
          <w:sz w:val="28"/>
          <w:szCs w:val="28"/>
        </w:rPr>
      </w:pPr>
      <w:r>
        <w:rPr>
          <w:rFonts w:hint="eastAsia" w:ascii="仿宋" w:hAnsi="仿宋" w:eastAsia="仿宋"/>
          <w:sz w:val="28"/>
          <w:szCs w:val="28"/>
        </w:rPr>
        <w:t>二、</w:t>
      </w:r>
      <w:r>
        <w:rPr>
          <w:rFonts w:hint="eastAsia" w:ascii="仿宋" w:hAnsi="仿宋" w:eastAsia="仿宋"/>
          <w:b/>
          <w:sz w:val="28"/>
          <w:szCs w:val="28"/>
        </w:rPr>
        <w:t>培养目标及基本要求</w:t>
      </w:r>
    </w:p>
    <w:p>
      <w:pPr>
        <w:spacing w:line="440" w:lineRule="exact"/>
        <w:ind w:firstLine="492" w:firstLineChars="175"/>
        <w:rPr>
          <w:rFonts w:ascii="仿宋" w:hAnsi="仿宋" w:eastAsia="仿宋"/>
          <w:b/>
          <w:sz w:val="28"/>
          <w:szCs w:val="28"/>
        </w:rPr>
      </w:pPr>
      <w:r>
        <w:rPr>
          <w:rFonts w:hint="eastAsia" w:ascii="仿宋" w:hAnsi="仿宋" w:eastAsia="仿宋"/>
          <w:b/>
          <w:sz w:val="28"/>
          <w:szCs w:val="28"/>
        </w:rPr>
        <w:t>（一）培养目标</w:t>
      </w:r>
    </w:p>
    <w:p>
      <w:pPr>
        <w:tabs>
          <w:tab w:val="left" w:pos="567"/>
        </w:tabs>
        <w:spacing w:line="440" w:lineRule="exact"/>
        <w:ind w:firstLine="560" w:firstLineChars="200"/>
        <w:rPr>
          <w:rFonts w:ascii="仿宋" w:hAnsi="仿宋" w:eastAsia="仿宋"/>
          <w:sz w:val="28"/>
          <w:szCs w:val="28"/>
        </w:rPr>
      </w:pPr>
      <w:r>
        <w:rPr>
          <w:rFonts w:hint="eastAsia" w:ascii="仿宋" w:hAnsi="仿宋" w:eastAsia="仿宋"/>
          <w:sz w:val="28"/>
          <w:szCs w:val="28"/>
        </w:rPr>
        <w:t>培养适应新时代中国特色社会主义建设要求，德智体美劳全面发展，并将传统的广播电视艺术理论以及当代视听艺术与实践相结合，服务于广播、电视、短视频、纪录片以及融合媒体产品等文化创意产业，具有社会责任感、文化创造力和艺术鉴赏力的复合型、个性化、高层次专业人才。</w:t>
      </w:r>
    </w:p>
    <w:p>
      <w:pPr>
        <w:spacing w:line="440" w:lineRule="exact"/>
        <w:ind w:firstLine="492" w:firstLineChars="175"/>
        <w:rPr>
          <w:rFonts w:ascii="仿宋" w:hAnsi="仿宋" w:eastAsia="仿宋"/>
          <w:b/>
          <w:sz w:val="28"/>
          <w:szCs w:val="28"/>
        </w:rPr>
      </w:pPr>
      <w:r>
        <w:rPr>
          <w:rFonts w:hint="eastAsia" w:ascii="仿宋" w:hAnsi="仿宋" w:eastAsia="仿宋"/>
          <w:b/>
          <w:sz w:val="28"/>
          <w:szCs w:val="28"/>
        </w:rPr>
        <w:t>（二）基本要求</w:t>
      </w:r>
    </w:p>
    <w:p>
      <w:pPr>
        <w:pStyle w:val="16"/>
        <w:spacing w:line="440" w:lineRule="exact"/>
        <w:ind w:firstLine="560" w:firstLineChars="200"/>
        <w:rPr>
          <w:rFonts w:ascii="仿宋" w:hAnsi="仿宋" w:eastAsia="仿宋"/>
          <w:sz w:val="28"/>
          <w:szCs w:val="28"/>
        </w:rPr>
      </w:pPr>
      <w:r>
        <w:rPr>
          <w:rFonts w:hint="eastAsia" w:ascii="仿宋" w:hAnsi="仿宋" w:eastAsia="仿宋"/>
          <w:sz w:val="28"/>
          <w:szCs w:val="28"/>
        </w:rPr>
        <w:t>1.坚持马克思主义新闻观与马克思主义文艺观，具有良好的政治素养和政策水平；遵守法律法规，恪守社会公德、艺术及文化传播职业道德和学术规范；具有强烈的时代认知和高度的社会责任感；具有正确的艺术创作志向和价值取向，敢于创新，敏于实践，勇于担当。</w:t>
      </w:r>
    </w:p>
    <w:p>
      <w:pPr>
        <w:pStyle w:val="16"/>
        <w:tabs>
          <w:tab w:val="left" w:pos="567"/>
        </w:tabs>
        <w:spacing w:line="440" w:lineRule="exact"/>
        <w:ind w:firstLine="560" w:firstLineChars="200"/>
        <w:rPr>
          <w:rFonts w:ascii="仿宋" w:hAnsi="仿宋" w:eastAsia="仿宋"/>
          <w:sz w:val="28"/>
          <w:szCs w:val="28"/>
        </w:rPr>
      </w:pPr>
      <w:r>
        <w:rPr>
          <w:rFonts w:hint="eastAsia" w:ascii="仿宋" w:hAnsi="仿宋" w:eastAsia="仿宋"/>
          <w:sz w:val="28"/>
          <w:szCs w:val="28"/>
        </w:rPr>
        <w:t>2.坚持“人文”“技术”“艺术”三位一体的育人理念。以社会与行业的职业需求为导向，依托新闻传播学科的优势资源，突出“人文+艺术+技术”的学科交叉特色，培养具有广博的人文素养、系统的专业知识、熟练掌握广播电视专题策划和音视频制作以及新媒体艺术产品生产技能的应用型、复合型艺术专门人才。</w:t>
      </w:r>
    </w:p>
    <w:p>
      <w:pPr>
        <w:pStyle w:val="16"/>
        <w:spacing w:line="440" w:lineRule="exact"/>
        <w:ind w:firstLine="560" w:firstLineChars="200"/>
        <w:rPr>
          <w:rFonts w:ascii="仿宋" w:hAnsi="仿宋" w:eastAsia="仿宋"/>
          <w:sz w:val="28"/>
          <w:szCs w:val="28"/>
        </w:rPr>
      </w:pPr>
      <w:r>
        <w:rPr>
          <w:rFonts w:hint="eastAsia" w:ascii="仿宋" w:hAnsi="仿宋" w:eastAsia="仿宋"/>
          <w:sz w:val="28"/>
          <w:szCs w:val="28"/>
        </w:rPr>
        <w:t>3.能够运用一门外语，在本专业领域进行必要的对外交流。</w:t>
      </w:r>
    </w:p>
    <w:p>
      <w:pPr>
        <w:pStyle w:val="16"/>
        <w:spacing w:line="440" w:lineRule="exact"/>
        <w:ind w:firstLine="560" w:firstLineChars="200"/>
        <w:rPr>
          <w:rFonts w:ascii="仿宋" w:hAnsi="仿宋" w:eastAsia="仿宋"/>
          <w:sz w:val="28"/>
          <w:szCs w:val="28"/>
        </w:rPr>
      </w:pPr>
      <w:r>
        <w:rPr>
          <w:rFonts w:hint="eastAsia" w:ascii="仿宋" w:hAnsi="仿宋" w:eastAsia="仿宋"/>
          <w:sz w:val="28"/>
          <w:szCs w:val="28"/>
        </w:rPr>
        <w:t>4.具有自主学习、终身学习能力。</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5.品德良好，身心健康。</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三、学习年限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学制3 年。学习年限根据情况可适当延长，最长不得超过5年。</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四、培养方式</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采取课堂教学、自学、讨论和实践相结合的方式，使学生较好地掌握基础理论和专业知识，培养学生广播电视艺术创作的问题意识和作品意识。培养过程将突出广播电视与新媒体艺术传播的专业特点，以实践为主并具有理论及综合素质的培养，对学生进行系统、全面的广播电视与新媒体艺术专业训练。</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指导方式采取“双导师制”，即由一名专业学位指导老师，及一名具有丰富实践经验、综合业务素质高的实践指导教师共同指导。聘请校外行（企）业具有丰富实践经验的专家担任实践指导教师，实行校内外双导师（导师组）共同指导，以校内导师指导为主，校外导师充分发挥职业优势。</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五、学分要求及课程体系设置</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本专业要求修满51学分，其中公共学位课9学分，专业学位课10学分，非学位课32学分，其中24学分为必修，8学分为选修。</w:t>
      </w:r>
    </w:p>
    <w:tbl>
      <w:tblPr>
        <w:tblStyle w:val="8"/>
        <w:tblpPr w:leftFromText="180" w:rightFromText="180" w:vertAnchor="text" w:horzAnchor="page" w:tblpX="1695" w:tblpY="1306"/>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9"/>
        <w:gridCol w:w="2620"/>
        <w:gridCol w:w="719"/>
        <w:gridCol w:w="650"/>
        <w:gridCol w:w="675"/>
        <w:gridCol w:w="838"/>
        <w:gridCol w:w="7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0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w:t>
            </w:r>
          </w:p>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类别</w:t>
            </w:r>
          </w:p>
        </w:tc>
        <w:tc>
          <w:tcPr>
            <w:tcW w:w="134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课程编号</w:t>
            </w:r>
          </w:p>
        </w:tc>
        <w:tc>
          <w:tcPr>
            <w:tcW w:w="2620"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课程中文名称</w:t>
            </w:r>
          </w:p>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（课程英文名称）</w:t>
            </w:r>
          </w:p>
        </w:tc>
        <w:tc>
          <w:tcPr>
            <w:tcW w:w="719"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学时</w:t>
            </w:r>
          </w:p>
        </w:tc>
        <w:tc>
          <w:tcPr>
            <w:tcW w:w="650"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学分</w:t>
            </w:r>
          </w:p>
        </w:tc>
        <w:tc>
          <w:tcPr>
            <w:tcW w:w="675"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开课学期</w:t>
            </w:r>
          </w:p>
        </w:tc>
        <w:tc>
          <w:tcPr>
            <w:tcW w:w="838"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开课单位</w:t>
            </w:r>
          </w:p>
        </w:tc>
        <w:tc>
          <w:tcPr>
            <w:tcW w:w="750"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考核方式</w:t>
            </w:r>
          </w:p>
        </w:tc>
        <w:tc>
          <w:tcPr>
            <w:tcW w:w="850" w:type="dxa"/>
            <w:vAlign w:val="center"/>
          </w:tcPr>
          <w:p>
            <w:pPr>
              <w:spacing w:line="30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公</w:t>
            </w:r>
          </w:p>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共</w:t>
            </w:r>
          </w:p>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学</w:t>
            </w:r>
          </w:p>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位</w:t>
            </w:r>
          </w:p>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课</w:t>
            </w: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w:t>
            </w:r>
            <w:r>
              <w:rPr>
                <w:rFonts w:ascii="仿宋" w:hAnsi="仿宋" w:eastAsia="仿宋" w:cs="宋体"/>
                <w:color w:val="000000" w:themeColor="text1"/>
                <w:kern w:val="0"/>
                <w:szCs w:val="21"/>
                <w:highlight w:val="none"/>
                <w14:textFill>
                  <w14:solidFill>
                    <w14:schemeClr w14:val="tx1"/>
                  </w14:solidFill>
                </w14:textFill>
              </w:rPr>
              <w:t>33</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英语（跨文化交流）</w:t>
            </w:r>
          </w:p>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English (Cross-Cultural Communication)</w:t>
            </w:r>
          </w:p>
        </w:tc>
        <w:tc>
          <w:tcPr>
            <w:tcW w:w="719"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外国语学院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bookmarkStart w:id="3" w:name="_GoBack"/>
            <w:bookmarkEnd w:id="3"/>
            <w:r>
              <w:rPr>
                <w:rFonts w:hint="eastAsia" w:ascii="仿宋" w:hAnsi="仿宋" w:eastAsia="仿宋" w:cs="宋体"/>
                <w:color w:val="000000" w:themeColor="text1"/>
                <w:szCs w:val="21"/>
                <w:highlight w:val="none"/>
                <w:lang w:eastAsia="zh-CN"/>
                <w14:textFill>
                  <w14:solidFill>
                    <w14:schemeClr w14:val="tx1"/>
                  </w14:solidFill>
                </w14:textFill>
              </w:rPr>
              <w:t>四</w:t>
            </w:r>
            <w:r>
              <w:rPr>
                <w:rFonts w:hint="eastAsia" w:ascii="仿宋" w:hAnsi="仿宋" w:eastAsia="仿宋" w:cs="宋体"/>
                <w:color w:val="000000" w:themeColor="text1"/>
                <w:szCs w:val="21"/>
                <w:highlight w:val="none"/>
                <w14:textFill>
                  <w14:solidFill>
                    <w14:schemeClr w14:val="tx1"/>
                  </w14:solidFill>
                </w14:textFill>
              </w:rPr>
              <w:t>选一</w:t>
            </w:r>
          </w:p>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105590ma34</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英语（学术论文写作）</w:t>
            </w:r>
          </w:p>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English (Academic Writing)</w:t>
            </w:r>
          </w:p>
        </w:tc>
        <w:tc>
          <w:tcPr>
            <w:tcW w:w="719"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外国语学院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Merge w:val="continue"/>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105590ma35</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英语（视听说）</w:t>
            </w:r>
          </w:p>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English (Viewing, Listening and Speaking)</w:t>
            </w:r>
          </w:p>
        </w:tc>
        <w:tc>
          <w:tcPr>
            <w:tcW w:w="719"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外国语学院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Merge w:val="continue"/>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105590ma36</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英语（读写译）</w:t>
            </w:r>
          </w:p>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English (Reading, Writing and Translation)</w:t>
            </w:r>
          </w:p>
        </w:tc>
        <w:tc>
          <w:tcPr>
            <w:tcW w:w="719"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外国语学院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Merge w:val="continue"/>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105590ma37</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基础英语</w:t>
            </w:r>
          </w:p>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color w:val="000000" w:themeColor="text1"/>
                <w:sz w:val="21"/>
                <w:highlight w:val="none"/>
                <w14:textFill>
                  <w14:solidFill>
                    <w14:schemeClr w14:val="tx1"/>
                  </w14:solidFill>
                </w14:textFill>
              </w:rPr>
              <w:t>Basic English</w:t>
            </w:r>
          </w:p>
        </w:tc>
        <w:tc>
          <w:tcPr>
            <w:tcW w:w="719"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36</w:t>
            </w:r>
          </w:p>
        </w:tc>
        <w:tc>
          <w:tcPr>
            <w:tcW w:w="650"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838"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外国语学院</w:t>
            </w:r>
          </w:p>
        </w:tc>
        <w:tc>
          <w:tcPr>
            <w:tcW w:w="750"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w:t>
            </w:r>
          </w:p>
        </w:tc>
        <w:tc>
          <w:tcPr>
            <w:tcW w:w="850" w:type="dxa"/>
            <w:vAlign w:val="center"/>
          </w:tcPr>
          <w:p>
            <w:pPr>
              <w:adjustRightInd w:val="0"/>
              <w:snapToGrid w:val="0"/>
              <w:spacing w:line="300" w:lineRule="exact"/>
              <w:jc w:val="center"/>
              <w:rPr>
                <w:rFonts w:hint="eastAsia" w:ascii="仿宋" w:hAnsi="仿宋" w:eastAsia="仿宋" w:cs="宋体"/>
                <w:bCs/>
                <w:color w:val="000000" w:themeColor="text1"/>
                <w:kern w:val="0"/>
                <w:sz w:val="21"/>
                <w:szCs w:val="21"/>
                <w:highlight w:val="none"/>
                <w:lang w:val="en-US" w:eastAsia="zh-CN" w:bidi="ar-SA"/>
                <w14:textFill>
                  <w14:solidFill>
                    <w14:schemeClr w14:val="tx1"/>
                  </w14:solidFill>
                </w14:textFill>
              </w:rPr>
            </w:pPr>
            <w:r>
              <w:rPr>
                <w:rFonts w:hint="eastAsia" w:ascii="仿宋" w:hAnsi="仿宋" w:eastAsia="仿宋" w:cs="宋体"/>
                <w:bCs/>
                <w:color w:val="000000" w:themeColor="text1"/>
                <w:kern w:val="0"/>
                <w:szCs w:val="21"/>
                <w:highlight w:val="none"/>
                <w:lang w:eastAsia="zh-CN"/>
                <w14:textFill>
                  <w14:solidFill>
                    <w14:schemeClr w14:val="tx1"/>
                  </w14:solidFill>
                </w14:textFill>
              </w:rPr>
              <w:t>少干生</w:t>
            </w:r>
            <w:r>
              <w:rPr>
                <w:rFonts w:hint="eastAsia" w:ascii="仿宋" w:hAnsi="仿宋" w:eastAsia="仿宋" w:cs="宋体"/>
                <w:bCs/>
                <w:color w:val="000000" w:themeColor="text1"/>
                <w:kern w:val="0"/>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105590ma32</w:t>
            </w:r>
          </w:p>
        </w:tc>
        <w:tc>
          <w:tcPr>
            <w:tcW w:w="2620"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新时代中国特色社会主义理论与实践研究</w:t>
            </w:r>
          </w:p>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Theory and Practice of Socialism with Chinese Characteristics in the New Era</w:t>
            </w:r>
          </w:p>
        </w:tc>
        <w:tc>
          <w:tcPr>
            <w:tcW w:w="719"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马克思主义学院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105590ma19</w:t>
            </w:r>
          </w:p>
        </w:tc>
        <w:tc>
          <w:tcPr>
            <w:tcW w:w="2620" w:type="dxa"/>
            <w:vAlign w:val="center"/>
          </w:tcPr>
          <w:p>
            <w:pPr>
              <w:adjustRightInd w:val="0"/>
              <w:snapToGrid w:val="0"/>
              <w:spacing w:line="300" w:lineRule="exact"/>
              <w:jc w:val="center"/>
              <w:rPr>
                <w:rFonts w:hint="eastAsia"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马克思主义与社会科学方法论</w:t>
            </w:r>
          </w:p>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Marxism and Social Sciences Methodology</w:t>
            </w:r>
          </w:p>
        </w:tc>
        <w:tc>
          <w:tcPr>
            <w:tcW w:w="719"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r>
              <w:rPr>
                <w:rFonts w:ascii="仿宋" w:hAnsi="仿宋" w:eastAsia="仿宋" w:cstheme="minorEastAsia"/>
                <w:color w:val="000000" w:themeColor="text1"/>
                <w:szCs w:val="21"/>
                <w:highlight w:val="none"/>
                <w14:textFill>
                  <w14:solidFill>
                    <w14:schemeClr w14:val="tx1"/>
                  </w14:solidFill>
                </w14:textFill>
              </w:rPr>
              <w:t>8</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马克思主义学院</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135104ma01</w:t>
            </w:r>
          </w:p>
        </w:tc>
        <w:tc>
          <w:tcPr>
            <w:tcW w:w="2620" w:type="dxa"/>
            <w:vAlign w:val="center"/>
          </w:tcPr>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马克思主义文艺理论</w:t>
            </w:r>
          </w:p>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Marxism Literary Theory</w:t>
            </w:r>
          </w:p>
        </w:tc>
        <w:tc>
          <w:tcPr>
            <w:tcW w:w="719" w:type="dxa"/>
            <w:vAlign w:val="center"/>
          </w:tcPr>
          <w:p>
            <w:pPr>
              <w:adjustRightInd w:val="0"/>
              <w:snapToGrid w:val="0"/>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36</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055300ma05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专业英语</w:t>
            </w:r>
          </w:p>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Professional English</w:t>
            </w:r>
          </w:p>
        </w:tc>
        <w:tc>
          <w:tcPr>
            <w:tcW w:w="719" w:type="dxa"/>
            <w:vAlign w:val="center"/>
          </w:tcPr>
          <w:p>
            <w:pPr>
              <w:adjustRightInd w:val="0"/>
              <w:snapToGrid w:val="0"/>
              <w:spacing w:line="300" w:lineRule="exact"/>
              <w:jc w:val="center"/>
              <w:rPr>
                <w:rFonts w:hint="default" w:ascii="仿宋" w:hAnsi="仿宋" w:eastAsia="仿宋" w:cstheme="minorEastAsia"/>
                <w:color w:val="000000" w:themeColor="text1"/>
                <w:szCs w:val="21"/>
                <w:highlight w:val="none"/>
                <w:lang w:val="en-US" w:eastAsia="zh-CN"/>
                <w14:textFill>
                  <w14:solidFill>
                    <w14:schemeClr w14:val="tx1"/>
                  </w14:solidFill>
                </w14:textFill>
              </w:rPr>
            </w:pPr>
            <w:r>
              <w:rPr>
                <w:rFonts w:hint="eastAsia" w:ascii="仿宋" w:hAnsi="仿宋" w:eastAsia="仿宋" w:cstheme="minorEastAsia"/>
                <w:color w:val="000000" w:themeColor="text1"/>
                <w:szCs w:val="21"/>
                <w:highlight w:val="none"/>
                <w:lang w:val="en-US" w:eastAsia="zh-CN"/>
                <w14:textFill>
                  <w14:solidFill>
                    <w14:schemeClr w14:val="tx1"/>
                  </w14:solidFill>
                </w14:textFill>
              </w:rPr>
              <w:t>40</w:t>
            </w:r>
          </w:p>
        </w:tc>
        <w:tc>
          <w:tcPr>
            <w:tcW w:w="6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675" w:type="dxa"/>
            <w:vAlign w:val="center"/>
          </w:tcPr>
          <w:p>
            <w:pPr>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专业学位课</w:t>
            </w: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135105mb15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视听语言</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ascii="宋体" w:hAnsi="宋体" w:eastAsia="宋体" w:cs="宋体"/>
                <w:sz w:val="24"/>
                <w:szCs w:val="24"/>
              </w:rPr>
              <w:t>Audiovisual Linguistics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09" w:type="dxa"/>
            <w:vMerge w:val="continue"/>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135105mb25</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广播电视艺术前沿</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ascii="宋体" w:hAnsi="宋体" w:eastAsia="宋体" w:cs="宋体"/>
                <w:sz w:val="24"/>
                <w:szCs w:val="24"/>
              </w:rPr>
              <w:t>Current issues in Radio, Film and Television Art Studies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135105mb26</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艺术美学</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ascii="宋体" w:hAnsi="宋体" w:eastAsia="宋体" w:cs="宋体"/>
                <w:sz w:val="24"/>
                <w:szCs w:val="24"/>
              </w:rPr>
              <w:t>Aesthetics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135105mb27</w:t>
            </w:r>
          </w:p>
        </w:tc>
        <w:tc>
          <w:tcPr>
            <w:tcW w:w="262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艺术创作方法</w:t>
            </w:r>
          </w:p>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ascii="宋体" w:hAnsi="宋体" w:eastAsia="宋体" w:cs="宋体"/>
                <w:sz w:val="24"/>
                <w:szCs w:val="24"/>
              </w:rPr>
              <w:t>Approaches to Artistic Creation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restart"/>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非学位课程</w:t>
            </w: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135105mc28</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摄影与摄像艺术</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Photography and Cinematography</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135105mb18</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音频制作</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Audio Production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135105mc30</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Cs w:val="21"/>
                <w:highlight w:val="none"/>
                <w14:textFill>
                  <w14:solidFill>
                    <w14:schemeClr w14:val="tx1"/>
                  </w14:solidFill>
                </w14:textFill>
              </w:rPr>
              <w:t>影像构成与色彩</w:t>
            </w:r>
          </w:p>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ascii="宋体" w:hAnsi="宋体" w:eastAsia="宋体" w:cs="宋体"/>
                <w:sz w:val="24"/>
                <w:szCs w:val="24"/>
              </w:rPr>
              <w:t>Images Forming and Color</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播音主持作品创作</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 xml:space="preserve">Creation of </w:t>
            </w:r>
            <w:r>
              <w:rPr>
                <w:rFonts w:hint="eastAsia" w:ascii="宋体" w:hAnsi="宋体" w:eastAsia="宋体" w:cs="宋体"/>
                <w:sz w:val="24"/>
                <w:szCs w:val="24"/>
              </w:rPr>
              <w:t>Broadcasting</w:t>
            </w:r>
            <w:r>
              <w:rPr>
                <w:rFonts w:ascii="宋体" w:hAnsi="宋体" w:eastAsia="宋体" w:cs="宋体"/>
                <w:sz w:val="24"/>
                <w:szCs w:val="24"/>
              </w:rPr>
              <w:t xml:space="preserve"> &amp; Hosting</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135105mc38</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新媒体主持实践</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Practice of Broadcasting &amp; Hosting</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135105mc39</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口语传播理论与实践</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Speech Communication: Theory and Practice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方向2</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135105mb07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新媒体艺术</w:t>
            </w:r>
          </w:p>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New Media Art</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60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方向1、3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055200mc56</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ascii="仿宋" w:hAnsi="仿宋" w:eastAsia="仿宋"/>
                <w:color w:val="000000" w:themeColor="text1"/>
                <w:kern w:val="0"/>
                <w:szCs w:val="21"/>
                <w:highlight w:val="none"/>
                <w14:textFill>
                  <w14:solidFill>
                    <w14:schemeClr w14:val="tx1"/>
                  </w14:solidFill>
                </w14:textFill>
              </w:rPr>
              <w:t>跨文化传播</w:t>
            </w:r>
          </w:p>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Intercultural</w:t>
            </w:r>
            <w:r>
              <w:rPr>
                <w:rFonts w:hint="default" w:ascii="仿宋" w:hAnsi="仿宋" w:eastAsia="仿宋" w:cs="宋体"/>
                <w:bCs/>
                <w:color w:val="000000" w:themeColor="text1"/>
                <w:kern w:val="0"/>
                <w:szCs w:val="21"/>
                <w:highlight w:val="none"/>
                <w14:textFill>
                  <w14:solidFill>
                    <w14:schemeClr w14:val="tx1"/>
                  </w14:solidFill>
                </w14:textFill>
              </w:rPr>
              <w:t xml:space="preserve"> </w:t>
            </w:r>
            <w:r>
              <w:rPr>
                <w:rFonts w:hint="eastAsia" w:ascii="仿宋" w:hAnsi="仿宋" w:eastAsia="仿宋" w:cs="宋体"/>
                <w:bCs/>
                <w:color w:val="000000" w:themeColor="text1"/>
                <w:kern w:val="0"/>
                <w:szCs w:val="21"/>
                <w:highlight w:val="none"/>
                <w14:textFill>
                  <w14:solidFill>
                    <w14:schemeClr w14:val="tx1"/>
                  </w14:solidFill>
                </w14:textFill>
              </w:rPr>
              <w:t>Communication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050302mc18</w:t>
            </w:r>
          </w:p>
        </w:tc>
        <w:tc>
          <w:tcPr>
            <w:tcW w:w="2620" w:type="dxa"/>
            <w:vAlign w:val="center"/>
          </w:tcPr>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hint="eastAsia" w:ascii="仿宋" w:hAnsi="仿宋" w:eastAsia="仿宋"/>
                <w:color w:val="000000" w:themeColor="text1"/>
                <w:kern w:val="0"/>
                <w:szCs w:val="21"/>
                <w:highlight w:val="none"/>
                <w14:textFill>
                  <w14:solidFill>
                    <w14:schemeClr w14:val="tx1"/>
                  </w14:solidFill>
                </w14:textFill>
              </w:rPr>
              <w:t>品牌战略与传播研究</w:t>
            </w:r>
          </w:p>
          <w:p>
            <w:pPr>
              <w:widowControl/>
              <w:snapToGrid w:val="0"/>
              <w:spacing w:line="300" w:lineRule="exact"/>
              <w:ind w:left="-36" w:leftChars="-17"/>
              <w:jc w:val="center"/>
              <w:rPr>
                <w:rFonts w:ascii="仿宋" w:hAnsi="仿宋" w:eastAsia="仿宋"/>
                <w:color w:val="000000" w:themeColor="text1"/>
                <w:kern w:val="0"/>
                <w:szCs w:val="21"/>
                <w:highlight w:val="none"/>
                <w14:textFill>
                  <w14:solidFill>
                    <w14:schemeClr w14:val="tx1"/>
                  </w14:solidFill>
                </w14:textFill>
              </w:rPr>
            </w:pPr>
            <w:r>
              <w:rPr>
                <w:rFonts w:ascii="宋体" w:hAnsi="宋体" w:eastAsia="宋体" w:cs="宋体"/>
                <w:sz w:val="24"/>
                <w:szCs w:val="24"/>
              </w:rPr>
              <w:t>Study of Branding Strategy and Communication</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方向3</w:t>
            </w:r>
            <w:r>
              <w:rPr>
                <w:rFonts w:hint="eastAsia" w:ascii="仿宋" w:hAnsi="仿宋" w:eastAsia="仿宋" w:cstheme="minorEastAsia"/>
                <w:color w:val="000000" w:themeColor="text1"/>
                <w:szCs w:val="21"/>
                <w:highlight w:val="none"/>
                <w14:textFill>
                  <w14:solidFill>
                    <w14:schemeClr w14:val="tx1"/>
                  </w14:solidFill>
                </w14:textFill>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135105mc17</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声音艺术与文化</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Audio Art and Culture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055200mc43</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视听传播理论</w:t>
            </w:r>
          </w:p>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Audiovisual Communication Theories</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050106mc10</w:t>
            </w:r>
          </w:p>
        </w:tc>
        <w:tc>
          <w:tcPr>
            <w:tcW w:w="2620"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影视文化研究</w:t>
            </w:r>
          </w:p>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ascii="宋体" w:hAnsi="宋体" w:eastAsia="宋体" w:cs="宋体"/>
                <w:sz w:val="24"/>
                <w:szCs w:val="24"/>
              </w:rPr>
              <w:t>A Study of Film and Television Culture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考试或考查</w:t>
            </w:r>
          </w:p>
        </w:tc>
        <w:tc>
          <w:tcPr>
            <w:tcW w:w="850" w:type="dxa"/>
            <w:vAlign w:val="center"/>
          </w:tcPr>
          <w:p>
            <w:pPr>
              <w:widowControl/>
              <w:snapToGrid w:val="0"/>
              <w:spacing w:line="300" w:lineRule="exact"/>
              <w:ind w:left="-36" w:leftChars="-17"/>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135105mc48</w:t>
            </w:r>
          </w:p>
        </w:tc>
        <w:tc>
          <w:tcPr>
            <w:tcW w:w="262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影视声音研究</w:t>
            </w:r>
          </w:p>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 xml:space="preserve"> Sound Studies of Film and Video</w:t>
            </w:r>
          </w:p>
        </w:tc>
        <w:tc>
          <w:tcPr>
            <w:tcW w:w="719" w:type="dxa"/>
            <w:vAlign w:val="center"/>
          </w:tcPr>
          <w:p>
            <w:pPr>
              <w:adjustRightInd w:val="0"/>
              <w:snapToGrid w:val="0"/>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675"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3</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考试或考查</w:t>
            </w:r>
          </w:p>
        </w:tc>
        <w:tc>
          <w:tcPr>
            <w:tcW w:w="8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bookmarkStart w:id="0" w:name="OLE_LINK1" w:colFirst="1" w:colLast="8"/>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135105mc50</w:t>
            </w:r>
          </w:p>
        </w:tc>
        <w:tc>
          <w:tcPr>
            <w:tcW w:w="2620" w:type="dxa"/>
            <w:vAlign w:val="center"/>
          </w:tcPr>
          <w:p>
            <w:pPr>
              <w:widowControl/>
              <w:snapToGrid w:val="0"/>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纪录片创作实践</w:t>
            </w:r>
          </w:p>
          <w:p>
            <w:pPr>
              <w:widowControl/>
              <w:snapToGrid w:val="0"/>
              <w:spacing w:line="300" w:lineRule="exact"/>
              <w:ind w:left="-36" w:leftChars="-17"/>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 xml:space="preserve">Documentary </w:t>
            </w:r>
            <w:r>
              <w:rPr>
                <w:rFonts w:hint="default" w:ascii="仿宋" w:hAnsi="仿宋" w:eastAsia="仿宋" w:cs="宋体"/>
                <w:bCs/>
                <w:color w:val="000000" w:themeColor="text1"/>
                <w:kern w:val="0"/>
                <w:szCs w:val="21"/>
                <w:highlight w:val="none"/>
                <w14:textFill>
                  <w14:solidFill>
                    <w14:schemeClr w14:val="tx1"/>
                  </w14:solidFill>
                </w14:textFill>
              </w:rPr>
              <w:t xml:space="preserve">Creation </w:t>
            </w:r>
            <w:r>
              <w:rPr>
                <w:rFonts w:hint="eastAsia" w:ascii="仿宋" w:hAnsi="仿宋" w:eastAsia="仿宋" w:cs="宋体"/>
                <w:bCs/>
                <w:color w:val="000000" w:themeColor="text1"/>
                <w:kern w:val="0"/>
                <w:szCs w:val="21"/>
                <w:highlight w:val="none"/>
                <w14:textFill>
                  <w14:solidFill>
                    <w14:schemeClr w14:val="tx1"/>
                  </w14:solidFill>
                </w14:textFill>
              </w:rPr>
              <w:t>Practice</w:t>
            </w:r>
          </w:p>
        </w:tc>
        <w:tc>
          <w:tcPr>
            <w:tcW w:w="719"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各方向选修</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1055300mc19</w:t>
            </w:r>
          </w:p>
        </w:tc>
        <w:tc>
          <w:tcPr>
            <w:tcW w:w="262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论文写作与学术规范</w:t>
            </w:r>
          </w:p>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Thesis Writing and Academic Norms</w:t>
            </w:r>
          </w:p>
        </w:tc>
        <w:tc>
          <w:tcPr>
            <w:tcW w:w="719" w:type="dxa"/>
            <w:vAlign w:val="center"/>
          </w:tcPr>
          <w:p>
            <w:pPr>
              <w:adjustRightInd w:val="0"/>
              <w:snapToGrid w:val="0"/>
              <w:spacing w:line="300" w:lineRule="exact"/>
              <w:jc w:val="center"/>
              <w:rPr>
                <w:rFonts w:hint="default"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1</w:t>
            </w:r>
          </w:p>
        </w:tc>
        <w:tc>
          <w:tcPr>
            <w:tcW w:w="675" w:type="dxa"/>
            <w:vAlign w:val="center"/>
          </w:tcPr>
          <w:p>
            <w:pPr>
              <w:adjustRightInd w:val="0"/>
              <w:snapToGrid w:val="0"/>
              <w:spacing w:line="300" w:lineRule="exact"/>
              <w:jc w:val="center"/>
              <w:rPr>
                <w:rFonts w:hint="eastAsia" w:ascii="仿宋" w:hAnsi="仿宋" w:eastAsia="仿宋" w:cs="宋体"/>
                <w:bCs/>
                <w:color w:val="000000" w:themeColor="text1"/>
                <w:kern w:val="0"/>
                <w:szCs w:val="21"/>
                <w:highlight w:val="none"/>
                <w:lang w:val="en-US" w:eastAsia="zh-CN"/>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考试或考查</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135105mc32</w:t>
            </w:r>
          </w:p>
        </w:tc>
        <w:tc>
          <w:tcPr>
            <w:tcW w:w="2620" w:type="dxa"/>
            <w:vAlign w:val="center"/>
          </w:tcPr>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实训工作坊</w:t>
            </w:r>
          </w:p>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theme="minorEastAsia"/>
                <w:color w:val="000000" w:themeColor="text1"/>
                <w:kern w:val="0"/>
                <w:sz w:val="21"/>
                <w:highlight w:val="none"/>
                <w14:textFill>
                  <w14:solidFill>
                    <w14:schemeClr w14:val="tx1"/>
                  </w14:solidFill>
                </w14:textFill>
              </w:rPr>
              <w:t>Training Workshop</w:t>
            </w:r>
          </w:p>
        </w:tc>
        <w:tc>
          <w:tcPr>
            <w:tcW w:w="719" w:type="dxa"/>
            <w:vAlign w:val="center"/>
          </w:tcPr>
          <w:p>
            <w:pPr>
              <w:adjustRightInd w:val="0"/>
              <w:snapToGrid w:val="0"/>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lang w:val="en-US" w:eastAsia="zh-CN"/>
                <w14:textFill>
                  <w14:solidFill>
                    <w14:schemeClr w14:val="tx1"/>
                  </w14:solidFill>
                </w14:textFill>
              </w:rPr>
              <w:t>40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2</w:t>
            </w:r>
          </w:p>
        </w:tc>
        <w:tc>
          <w:tcPr>
            <w:tcW w:w="675" w:type="dxa"/>
            <w:vAlign w:val="center"/>
          </w:tcPr>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2</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考查</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105590mc06</w:t>
            </w:r>
          </w:p>
        </w:tc>
        <w:tc>
          <w:tcPr>
            <w:tcW w:w="2620"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实践教学</w:t>
            </w:r>
          </w:p>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Practice Project</w:t>
            </w:r>
          </w:p>
        </w:tc>
        <w:tc>
          <w:tcPr>
            <w:tcW w:w="719" w:type="dxa"/>
            <w:vAlign w:val="center"/>
          </w:tcPr>
          <w:p>
            <w:pPr>
              <w:widowControl/>
              <w:spacing w:line="300" w:lineRule="exact"/>
              <w:jc w:val="center"/>
              <w:rPr>
                <w:rFonts w:hint="default" w:ascii="仿宋" w:hAnsi="仿宋" w:eastAsia="仿宋" w:cs="宋体"/>
                <w:color w:val="000000" w:themeColor="text1"/>
                <w:kern w:val="0"/>
                <w:szCs w:val="21"/>
                <w:highlight w:val="none"/>
                <w:lang w:val="en-US" w:eastAsia="zh-CN"/>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120</w:t>
            </w:r>
          </w:p>
        </w:tc>
        <w:tc>
          <w:tcPr>
            <w:tcW w:w="6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w:t>
            </w:r>
          </w:p>
        </w:tc>
        <w:tc>
          <w:tcPr>
            <w:tcW w:w="675"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lang w:val="en-US" w:eastAsia="zh-CN"/>
                <w14:textFill>
                  <w14:solidFill>
                    <w14:schemeClr w14:val="tx1"/>
                  </w14:solidFill>
                </w14:textFill>
              </w:rPr>
              <w:t>4</w:t>
            </w:r>
            <w:r>
              <w:rPr>
                <w:rFonts w:hint="eastAsia" w:ascii="仿宋" w:hAnsi="仿宋" w:eastAsia="仿宋" w:cs="宋体"/>
                <w:color w:val="000000" w:themeColor="text1"/>
                <w:kern w:val="0"/>
                <w:szCs w:val="21"/>
                <w:highlight w:val="none"/>
                <w14:textFill>
                  <w14:solidFill>
                    <w14:schemeClr w14:val="tx1"/>
                  </w14:solidFill>
                </w14:textFill>
              </w:rPr>
              <w:t>-6</w:t>
            </w:r>
          </w:p>
        </w:tc>
        <w:tc>
          <w:tcPr>
            <w:tcW w:w="838"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本单位</w:t>
            </w:r>
          </w:p>
        </w:tc>
        <w:tc>
          <w:tcPr>
            <w:tcW w:w="7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考查</w:t>
            </w:r>
          </w:p>
        </w:tc>
        <w:tc>
          <w:tcPr>
            <w:tcW w:w="850" w:type="dxa"/>
            <w:vAlign w:val="center"/>
          </w:tcPr>
          <w:p>
            <w:pPr>
              <w:widowControl/>
              <w:spacing w:line="300" w:lineRule="exact"/>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9" w:type="dxa"/>
            <w:vMerge w:val="continue"/>
            <w:vAlign w:val="center"/>
          </w:tcPr>
          <w:p>
            <w:pPr>
              <w:spacing w:line="30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135105mc33</w:t>
            </w:r>
          </w:p>
        </w:tc>
        <w:tc>
          <w:tcPr>
            <w:tcW w:w="2620" w:type="dxa"/>
            <w:vAlign w:val="center"/>
          </w:tcPr>
          <w:p>
            <w:pPr>
              <w:widowControl/>
              <w:spacing w:line="300" w:lineRule="exact"/>
              <w:ind w:left="-36" w:leftChars="-17"/>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毕业作品创作</w:t>
            </w:r>
          </w:p>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ascii="宋体" w:hAnsi="宋体" w:eastAsia="宋体" w:cs="宋体"/>
                <w:sz w:val="24"/>
                <w:szCs w:val="24"/>
              </w:rPr>
              <w:t xml:space="preserve">Graduation Work </w:t>
            </w:r>
          </w:p>
        </w:tc>
        <w:tc>
          <w:tcPr>
            <w:tcW w:w="719" w:type="dxa"/>
            <w:vAlign w:val="center"/>
          </w:tcPr>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120</w:t>
            </w:r>
          </w:p>
        </w:tc>
        <w:tc>
          <w:tcPr>
            <w:tcW w:w="650" w:type="dxa"/>
            <w:vAlign w:val="center"/>
          </w:tcPr>
          <w:p>
            <w:pPr>
              <w:adjustRightInd w:val="0"/>
              <w:snapToGrid w:val="0"/>
              <w:spacing w:line="300" w:lineRule="exact"/>
              <w:jc w:val="center"/>
              <w:rPr>
                <w:rFonts w:ascii="仿宋" w:hAnsi="仿宋" w:eastAsia="仿宋" w:cs="宋体"/>
                <w:bCs/>
                <w:color w:val="000000" w:themeColor="text1"/>
                <w:kern w:val="0"/>
                <w:szCs w:val="21"/>
                <w:highlight w:val="none"/>
                <w14:textFill>
                  <w14:solidFill>
                    <w14:schemeClr w14:val="tx1"/>
                  </w14:solidFill>
                </w14:textFill>
              </w:rPr>
            </w:pPr>
            <w:r>
              <w:rPr>
                <w:rFonts w:hint="eastAsia" w:ascii="仿宋" w:hAnsi="仿宋" w:eastAsia="仿宋" w:cs="宋体"/>
                <w:bCs/>
                <w:color w:val="000000" w:themeColor="text1"/>
                <w:kern w:val="0"/>
                <w:szCs w:val="21"/>
                <w:highlight w:val="none"/>
                <w14:textFill>
                  <w14:solidFill>
                    <w14:schemeClr w14:val="tx1"/>
                  </w14:solidFill>
                </w14:textFill>
              </w:rPr>
              <w:t>4</w:t>
            </w:r>
          </w:p>
        </w:tc>
        <w:tc>
          <w:tcPr>
            <w:tcW w:w="675" w:type="dxa"/>
            <w:vAlign w:val="center"/>
          </w:tcPr>
          <w:p>
            <w:pPr>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4-6</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widowControl/>
              <w:spacing w:line="300" w:lineRule="exact"/>
              <w:ind w:left="-36" w:leftChars="-17"/>
              <w:jc w:val="center"/>
              <w:rPr>
                <w:rFonts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考查</w:t>
            </w:r>
          </w:p>
        </w:tc>
        <w:tc>
          <w:tcPr>
            <w:tcW w:w="850"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09" w:type="dxa"/>
            <w:vMerge w:val="continue"/>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p>
        </w:tc>
        <w:tc>
          <w:tcPr>
            <w:tcW w:w="1349"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135105md01</w:t>
            </w:r>
          </w:p>
        </w:tc>
        <w:tc>
          <w:tcPr>
            <w:tcW w:w="2620" w:type="dxa"/>
            <w:vAlign w:val="center"/>
          </w:tcPr>
          <w:p>
            <w:pPr>
              <w:widowControl/>
              <w:spacing w:line="300" w:lineRule="exact"/>
              <w:jc w:val="center"/>
              <w:rPr>
                <w:rFonts w:hint="eastAsia" w:ascii="仿宋" w:hAnsi="仿宋" w:eastAsia="仿宋" w:cs="宋体"/>
                <w:color w:val="000000" w:themeColor="text1"/>
                <w:kern w:val="0"/>
                <w:szCs w:val="21"/>
                <w:highlight w:val="none"/>
                <w14:textFill>
                  <w14:solidFill>
                    <w14:schemeClr w14:val="tx1"/>
                  </w14:solidFill>
                </w14:textFill>
              </w:rPr>
            </w:pPr>
            <w:r>
              <w:rPr>
                <w:rFonts w:hint="eastAsia" w:ascii="仿宋" w:hAnsi="仿宋" w:eastAsia="仿宋" w:cs="宋体"/>
                <w:color w:val="000000" w:themeColor="text1"/>
                <w:kern w:val="0"/>
                <w:szCs w:val="21"/>
                <w:highlight w:val="none"/>
                <w14:textFill>
                  <w14:solidFill>
                    <w14:schemeClr w14:val="tx1"/>
                  </w14:solidFill>
                </w14:textFill>
              </w:rPr>
              <w:t>广播电视实务前沿讲座Lectures on the Practical Frontier of Radio and Television</w:t>
            </w:r>
          </w:p>
          <w:p>
            <w:pPr>
              <w:spacing w:line="300" w:lineRule="exact"/>
              <w:ind w:left="-36" w:leftChars="-17"/>
              <w:jc w:val="center"/>
              <w:rPr>
                <w:rFonts w:ascii="仿宋" w:hAnsi="仿宋" w:eastAsia="仿宋"/>
                <w:color w:val="000000" w:themeColor="text1"/>
                <w:szCs w:val="21"/>
                <w:highlight w:val="none"/>
                <w14:textFill>
                  <w14:solidFill>
                    <w14:schemeClr w14:val="tx1"/>
                  </w14:solidFill>
                </w14:textFill>
              </w:rPr>
            </w:pPr>
          </w:p>
        </w:tc>
        <w:tc>
          <w:tcPr>
            <w:tcW w:w="719" w:type="dxa"/>
            <w:vAlign w:val="center"/>
          </w:tcPr>
          <w:p>
            <w:pPr>
              <w:adjustRightInd w:val="0"/>
              <w:snapToGrid w:val="0"/>
              <w:spacing w:line="30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20</w:t>
            </w:r>
          </w:p>
        </w:tc>
        <w:tc>
          <w:tcPr>
            <w:tcW w:w="650" w:type="dxa"/>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w:t>
            </w:r>
          </w:p>
        </w:tc>
        <w:tc>
          <w:tcPr>
            <w:tcW w:w="675" w:type="dxa"/>
            <w:vAlign w:val="center"/>
          </w:tcPr>
          <w:p>
            <w:pPr>
              <w:spacing w:line="300" w:lineRule="exact"/>
              <w:jc w:val="center"/>
              <w:rPr>
                <w:rFonts w:hint="eastAsia" w:ascii="仿宋" w:hAnsi="仿宋" w:eastAsia="仿宋" w:cs="宋体"/>
                <w:color w:val="000000" w:themeColor="text1"/>
                <w:szCs w:val="21"/>
                <w:highlight w:val="none"/>
                <w:lang w:val="en-US" w:eastAsia="zh-CN"/>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1</w:t>
            </w:r>
            <w:r>
              <w:rPr>
                <w:rFonts w:ascii="仿宋" w:hAnsi="仿宋" w:eastAsia="仿宋" w:cs="宋体"/>
                <w:color w:val="000000" w:themeColor="text1"/>
                <w:szCs w:val="21"/>
                <w:highlight w:val="none"/>
                <w14:textFill>
                  <w14:solidFill>
                    <w14:schemeClr w14:val="tx1"/>
                  </w14:solidFill>
                </w14:textFill>
              </w:rPr>
              <w:t>-</w:t>
            </w:r>
            <w:r>
              <w:rPr>
                <w:rFonts w:hint="eastAsia" w:ascii="仿宋" w:hAnsi="仿宋" w:eastAsia="仿宋" w:cs="宋体"/>
                <w:color w:val="000000" w:themeColor="text1"/>
                <w:szCs w:val="21"/>
                <w:highlight w:val="none"/>
                <w:lang w:val="en-US" w:eastAsia="zh-CN"/>
                <w14:textFill>
                  <w14:solidFill>
                    <w14:schemeClr w14:val="tx1"/>
                  </w14:solidFill>
                </w14:textFill>
              </w:rPr>
              <w:t>5</w:t>
            </w:r>
          </w:p>
        </w:tc>
        <w:tc>
          <w:tcPr>
            <w:tcW w:w="838" w:type="dxa"/>
            <w:vAlign w:val="center"/>
          </w:tcPr>
          <w:p>
            <w:pPr>
              <w:widowControl/>
              <w:spacing w:line="300" w:lineRule="exact"/>
              <w:jc w:val="center"/>
              <w:rPr>
                <w:rFonts w:ascii="仿宋" w:hAnsi="仿宋" w:eastAsia="仿宋" w:cstheme="minorEastAsia"/>
                <w:color w:val="000000" w:themeColor="text1"/>
                <w:szCs w:val="21"/>
                <w:highlight w:val="none"/>
                <w14:textFill>
                  <w14:solidFill>
                    <w14:schemeClr w14:val="tx1"/>
                  </w14:solidFill>
                </w14:textFill>
              </w:rPr>
            </w:pPr>
            <w:r>
              <w:rPr>
                <w:rFonts w:hint="eastAsia" w:ascii="仿宋" w:hAnsi="仿宋" w:eastAsia="仿宋" w:cstheme="minorEastAsia"/>
                <w:color w:val="000000" w:themeColor="text1"/>
                <w:szCs w:val="21"/>
                <w:highlight w:val="none"/>
                <w14:textFill>
                  <w14:solidFill>
                    <w14:schemeClr w14:val="tx1"/>
                  </w14:solidFill>
                </w14:textFill>
              </w:rPr>
              <w:t>本单位</w:t>
            </w:r>
          </w:p>
        </w:tc>
        <w:tc>
          <w:tcPr>
            <w:tcW w:w="750" w:type="dxa"/>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考查</w:t>
            </w:r>
          </w:p>
        </w:tc>
        <w:tc>
          <w:tcPr>
            <w:tcW w:w="850" w:type="dxa"/>
            <w:vAlign w:val="center"/>
          </w:tcPr>
          <w:p>
            <w:pPr>
              <w:spacing w:line="30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各方向必选</w:t>
            </w:r>
          </w:p>
        </w:tc>
      </w:tr>
    </w:tbl>
    <w:p>
      <w:pPr>
        <w:spacing w:line="440" w:lineRule="exact"/>
        <w:ind w:firstLine="562" w:firstLineChars="200"/>
        <w:rPr>
          <w:rFonts w:ascii="仿宋" w:hAnsi="仿宋" w:eastAsia="仿宋"/>
          <w:b/>
          <w:sz w:val="28"/>
          <w:szCs w:val="28"/>
        </w:rPr>
      </w:pPr>
      <w:r>
        <w:rPr>
          <w:rFonts w:hint="eastAsia" w:ascii="仿宋" w:hAnsi="仿宋" w:eastAsia="仿宋"/>
          <w:b/>
          <w:sz w:val="28"/>
          <w:szCs w:val="28"/>
        </w:rPr>
        <w:t>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同等学力或跨一级学科考取的硕士生，应在导师指导下，补修3门本学科本科核心课程（具体课程参考本学科本科培养方案），所修课程只登记成绩不计学分。</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课程成绩采用百分制。学位课程成绩70 分或以上为合格，可以获得相应学分；非学位课程成绩 60 分为合格，可以获得相应学分。</w:t>
      </w:r>
    </w:p>
    <w:p>
      <w:pPr>
        <w:spacing w:line="440" w:lineRule="exact"/>
        <w:ind w:firstLine="560"/>
        <w:rPr>
          <w:rFonts w:ascii="仿宋" w:hAnsi="仿宋" w:eastAsia="仿宋" w:cs="宋体"/>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cs="宋体"/>
          <w:sz w:val="28"/>
          <w:szCs w:val="28"/>
        </w:rPr>
        <w:t>硕士生在第1-5学期，应参加不少于15次学科前沿讲座或学院举办的其他学术会议、大型活动等。</w:t>
      </w:r>
    </w:p>
    <w:p>
      <w:pPr>
        <w:spacing w:line="440" w:lineRule="exact"/>
        <w:ind w:firstLine="560" w:firstLineChars="200"/>
        <w:rPr>
          <w:rFonts w:hint="eastAsia" w:ascii="仿宋" w:hAnsi="仿宋" w:eastAsia="仿宋"/>
          <w:sz w:val="28"/>
          <w:szCs w:val="28"/>
          <w:lang w:eastAsia="zh-CN"/>
        </w:rPr>
      </w:pP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六、培养计划</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学位研究生的个人培养计划由导师主持制订。学生进校后，导师与学生应就培养中的各项问题充分交换意见，在此基础上制订出符合要求、切实可行的培养计划。硕士生培养计划须于学生进校后3个月内制订完成，并导入研究生教育综合管理系统中，经导师确认后签字，由学院批准备案。个人培养计划一经制订，在培养过程中必须严格按计划执行。</w:t>
      </w:r>
    </w:p>
    <w:p>
      <w:pPr>
        <w:spacing w:line="440" w:lineRule="exact"/>
        <w:ind w:firstLine="562" w:firstLineChars="200"/>
        <w:rPr>
          <w:rFonts w:ascii="仿宋" w:hAnsi="仿宋" w:eastAsia="仿宋"/>
          <w:sz w:val="28"/>
          <w:szCs w:val="28"/>
        </w:rPr>
      </w:pPr>
      <w:r>
        <w:rPr>
          <w:rFonts w:hint="eastAsia" w:ascii="仿宋" w:hAnsi="仿宋" w:eastAsia="仿宋"/>
          <w:b/>
          <w:sz w:val="28"/>
          <w:szCs w:val="28"/>
        </w:rPr>
        <w:t>七、开题报告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专业学位硕士生入学后，应在导师指导下拟定研究方向和论文题目，最迟于第三学期完成学位论文开题报告。开题报告具体要求按暨南大学有关规定执行。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开题报告应就选题依据、国内外发展动态、研究内容、预期目标、研究方案等做出论证，写出书面报告，并在学位点内进行公开报告，听取专家意见并进行必要的修改和调整。</w:t>
      </w:r>
    </w:p>
    <w:p>
      <w:pPr>
        <w:spacing w:line="440" w:lineRule="exact"/>
        <w:ind w:firstLine="560" w:firstLineChars="200"/>
        <w:rPr>
          <w:rFonts w:ascii="仿宋" w:hAnsi="仿宋" w:eastAsia="仿宋"/>
          <w:b/>
          <w:sz w:val="28"/>
          <w:szCs w:val="28"/>
        </w:rPr>
      </w:pPr>
      <w:r>
        <w:rPr>
          <w:rFonts w:hint="eastAsia" w:ascii="仿宋" w:hAnsi="仿宋" w:eastAsia="仿宋"/>
          <w:sz w:val="28"/>
          <w:szCs w:val="28"/>
        </w:rPr>
        <w:t>经评审通过的开题报告应上传至研究生教育综合管理系统，并以书面形式提交学院研究生培养管理部门备案。开题未能通过的应在至少3个月后重新申请开题且导师必须回避。开题报告通过者如因特殊情况须变更学位论文课题研究者，应重新进行开题报告。</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八、专业实践</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专业实践为必修环节，计4学分。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应届本科毕业生及未在广播电视及新媒体行业工作满一年以上的非应届本科毕业生攻读本专业学位期间，必须保证参加不少于3个月的实践教学；已在新闻与传播各行业工作满一年以上的非应届本科毕业生攻读本专业学位期间，不必安排专门的专业实习，但应按专业实习的要求提交相关作品及其心得报告。</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专业实习具体要求按照暨南大学相关实践管理规定执行。经考核合格后取得相应学分。</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九、中期考核</w:t>
      </w:r>
    </w:p>
    <w:p>
      <w:pPr>
        <w:spacing w:line="440" w:lineRule="exact"/>
        <w:ind w:firstLine="560" w:firstLineChars="200"/>
        <w:rPr>
          <w:rFonts w:ascii="仿宋" w:hAnsi="仿宋" w:eastAsia="仿宋"/>
          <w:sz w:val="28"/>
          <w:szCs w:val="28"/>
        </w:rPr>
      </w:pPr>
      <w:bookmarkStart w:id="1" w:name="OLE_LINK3"/>
      <w:r>
        <w:rPr>
          <w:rFonts w:hint="eastAsia" w:ascii="仿宋" w:hAnsi="仿宋" w:eastAsia="仿宋"/>
          <w:sz w:val="28"/>
          <w:szCs w:val="28"/>
        </w:rPr>
        <w:t>硕士生通过开题报告后，在预答辩之前要进行中期考核</w:t>
      </w:r>
      <w:r>
        <w:rPr>
          <w:rFonts w:hint="eastAsia" w:ascii="仿宋" w:hAnsi="仿宋" w:eastAsia="仿宋"/>
          <w:sz w:val="28"/>
          <w:szCs w:val="28"/>
          <w:lang w:val="en-US" w:eastAsia="zh-CN"/>
        </w:rPr>
        <w:t>,</w:t>
      </w:r>
      <w:r>
        <w:rPr>
          <w:rFonts w:hint="eastAsia" w:ascii="仿宋" w:hAnsi="仿宋" w:eastAsia="仿宋"/>
          <w:sz w:val="28"/>
          <w:szCs w:val="28"/>
        </w:rPr>
        <w:t>结合对研究方法、专业课程、必读书目内容和论文撰写情况进行笔试和面试，最迟于第</w:t>
      </w:r>
      <w:r>
        <w:rPr>
          <w:rFonts w:hint="eastAsia" w:ascii="仿宋" w:hAnsi="仿宋" w:eastAsia="仿宋"/>
          <w:sz w:val="28"/>
          <w:szCs w:val="28"/>
          <w:lang w:eastAsia="zh-CN"/>
        </w:rPr>
        <w:t>四</w:t>
      </w:r>
      <w:r>
        <w:rPr>
          <w:rFonts w:hint="eastAsia" w:ascii="仿宋" w:hAnsi="仿宋" w:eastAsia="仿宋"/>
          <w:sz w:val="28"/>
          <w:szCs w:val="28"/>
        </w:rPr>
        <w:t>学期完成</w:t>
      </w:r>
      <w:r>
        <w:rPr>
          <w:rFonts w:hint="eastAsia" w:ascii="仿宋" w:hAnsi="仿宋" w:eastAsia="仿宋"/>
          <w:sz w:val="28"/>
          <w:szCs w:val="28"/>
          <w:lang w:eastAsia="zh-CN"/>
        </w:rPr>
        <w:t>中期考核</w:t>
      </w:r>
      <w:r>
        <w:rPr>
          <w:rFonts w:hint="eastAsia" w:ascii="仿宋" w:hAnsi="仿宋" w:eastAsia="仿宋"/>
          <w:sz w:val="28"/>
          <w:szCs w:val="28"/>
        </w:rPr>
        <w:t>。具体要求按暨南大学有关规定执行。</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期考核旨在对照培养方案的要求，从德智体美劳各方面对研究生的学业进展情况进行全面检查，并对其后续学业安排提出意见、建议和要求。本学科中期考核每学年安排两次，分别在每年的5月和11月进行，学生可自由选择参加。硕士研究生二次考核仍为不合格者一般给予退学处理。</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硕士生进行学位论文撰写的阶段报告。笔试与面试成绩的平均分达到75分以上（含75分）为合格。考核等级为“合格”及以上的研究生，方可参加论文预答辩，以及进入毕业、学位申请环节。</w:t>
      </w:r>
      <w:bookmarkEnd w:id="1"/>
    </w:p>
    <w:p>
      <w:pPr>
        <w:spacing w:line="440" w:lineRule="exact"/>
        <w:ind w:firstLine="562" w:firstLineChars="200"/>
        <w:rPr>
          <w:rFonts w:ascii="仿宋" w:hAnsi="仿宋" w:eastAsia="仿宋"/>
          <w:sz w:val="28"/>
          <w:szCs w:val="28"/>
        </w:rPr>
      </w:pPr>
      <w:r>
        <w:rPr>
          <w:rFonts w:hint="eastAsia" w:ascii="仿宋" w:hAnsi="仿宋" w:eastAsia="仿宋"/>
          <w:b/>
          <w:sz w:val="28"/>
          <w:szCs w:val="28"/>
        </w:rPr>
        <w:t>十、学位（毕业）论文</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（一）关于艺术硕士（广播电视）专业学位（毕业）论文考核形式的说明</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1、毕业作品</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本专业方向研究生毕业时须提交毕业作品，由校内外专家组对作品进行评审后确认其成绩。</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视听艺术与创作实践方向要求制作的纪录片、微电影、深度新闻调查等作品，内容完整，叙事流畅，制作较为精美，片长不少于25分钟。毕业作品的第一完成人为导演或编导。论文篇幅不少于25000字。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播音与主持艺术方向要求独立策划、制作、主持完成一个播音主持作品，包括自我设计文案，选择采访对象，组织现场驾驭与演播，可选择新闻、谈话、社教、综艺等节目类型。要求作品必须为原创，观点正确、结构完整、内容充实、画面丰富，音响清晰，特色鲜明，并具备学术性和创新性。语言表达部分应为作品的主干或主线（不包括同期声及其它参与节目人员的有声语言）。体现出主持人较强的节目驾驭力和语言传播力。提交作品可选择视频或音频，视频作品要求25分钟以上的完整节目，音频作品为5期以上系列作品（每期时长10-20分钟），允许为电视台、网络公开播映的署名作品。答辩时提交创作相关文字稿件。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文化遗产与创意传播方向要求制作以文化遗产传承传播为主题的纪录片、微电影、深度新闻调查等作品，内容完整，叙事流畅，制作较为精美，片长不少于25分钟。毕业作品的第一完成人为导演或编导。论文篇幅不少于25000字。</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2、学位论文</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学位论文须与毕业作品紧密相联，是学生对毕业作品所进行的创作思考和理论阐释。创作思考主要从选题策划、作品结构、叙事风格和视听语言表达等方面展开，理论阐述要求紧密围绕上述内容进行理论分析，二者不可脱离，并应体现一定的学术价值和创新之处，对于作品创作存在的不足和经验也应有所系统的梳理。论文附录包括分镜头脚本、现场拍摄图片等。论文篇幅不少于25000字。</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（二）学位（毕业）论文预答辩与答辩要求</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硕士生在正式论文答辩之前必须通过预答辩环节。学位（毕业）论文的预答辩、答辩等工作按《暨南大学学位授予工作实施细则》及本学位点相关规定执行。</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（三）学位授予</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艺术硕士专业学位申请者，在修学规定课程和获得规定学分的同时，须完成包括专业实践能力展示和专业学位论文答辩两部分组成的毕业考核。专业实践能力展示体现申请人的专业技能水平，专业学位论文答辩体现申请人对应用专业技能所表现出的综合素质和理论阐述能力。两部分共同作为艺术硕士专业学位申请人专业水平的评价依据，均须达到合格标准，缺一不可。毕业考核总成绩计算方法为：专业实践能力展示占70%、专业学位论文答辩占30%。</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修满规定学分并毕业考核合格者，经授予单位学位评定委员会审核批准，授予艺术硕士专业学位，颁发艺术硕士学位证书和毕业证书。</w:t>
      </w:r>
    </w:p>
    <w:p>
      <w:pPr>
        <w:spacing w:line="440" w:lineRule="exact"/>
        <w:ind w:firstLine="562" w:firstLineChars="200"/>
        <w:rPr>
          <w:rFonts w:ascii="仿宋" w:hAnsi="仿宋" w:eastAsia="仿宋"/>
          <w:b/>
          <w:sz w:val="28"/>
          <w:szCs w:val="28"/>
        </w:rPr>
      </w:pPr>
      <w:r>
        <w:rPr>
          <w:rFonts w:hint="eastAsia" w:ascii="仿宋" w:hAnsi="仿宋" w:eastAsia="仿宋"/>
          <w:b/>
          <w:sz w:val="28"/>
          <w:szCs w:val="28"/>
        </w:rPr>
        <w:t>（四）毕业考核委员会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由相关领域具有高级职称的专家组成毕业考核委员会，考核专业能力展示和学位论文答辩是否达到合格水平。毕业考核委员会一般由3-5人组成。</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毕业考核总成绩按百分制评分，评价结论分为优秀、良好、合格、不合格四种。优秀：≥90；良好：89-75；合格：74-60；不合格：≤59。</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 xml:space="preserve">十一、在学期间科研成果要求  </w:t>
      </w:r>
    </w:p>
    <w:p>
      <w:pPr>
        <w:spacing w:line="440" w:lineRule="exact"/>
        <w:ind w:firstLine="548" w:firstLineChars="196"/>
        <w:rPr>
          <w:rFonts w:ascii="仿宋" w:hAnsi="仿宋" w:eastAsia="仿宋"/>
          <w:b/>
          <w:sz w:val="28"/>
          <w:szCs w:val="28"/>
        </w:rPr>
      </w:pPr>
      <w:r>
        <w:rPr>
          <w:rFonts w:hint="eastAsia" w:ascii="仿宋" w:hAnsi="仿宋" w:eastAsia="仿宋"/>
          <w:sz w:val="28"/>
          <w:szCs w:val="28"/>
        </w:rPr>
        <w:t>按照艺术硕士专业学位类别教育指导委员会有关规定执行。</w:t>
      </w:r>
      <w:r>
        <w:rPr>
          <w:rFonts w:hint="eastAsia" w:ascii="仿宋" w:hAnsi="仿宋" w:eastAsia="仿宋"/>
          <w:b/>
          <w:sz w:val="28"/>
          <w:szCs w:val="28"/>
        </w:rPr>
        <w:t xml:space="preserve">  </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十二、毕业与授予学位标准</w:t>
      </w:r>
    </w:p>
    <w:p>
      <w:pPr>
        <w:spacing w:line="440" w:lineRule="exact"/>
        <w:ind w:firstLine="200"/>
        <w:rPr>
          <w:rFonts w:ascii="仿宋" w:hAnsi="仿宋" w:eastAsia="仿宋"/>
          <w:sz w:val="28"/>
          <w:szCs w:val="28"/>
        </w:rPr>
      </w:pPr>
      <w:r>
        <w:rPr>
          <w:rFonts w:hint="eastAsia" w:ascii="仿宋" w:hAnsi="仿宋" w:eastAsia="仿宋"/>
          <w:sz w:val="28"/>
          <w:szCs w:val="28"/>
        </w:rPr>
        <w:t>毕业和授予学位授予标准按照学校有关规定进行。</w:t>
      </w:r>
    </w:p>
    <w:p>
      <w:pPr>
        <w:spacing w:line="440" w:lineRule="exact"/>
        <w:ind w:firstLine="551" w:firstLineChars="196"/>
        <w:rPr>
          <w:rFonts w:ascii="仿宋" w:hAnsi="仿宋" w:eastAsia="仿宋"/>
          <w:b/>
          <w:sz w:val="28"/>
          <w:szCs w:val="28"/>
        </w:rPr>
      </w:pPr>
      <w:r>
        <w:rPr>
          <w:rFonts w:hint="eastAsia" w:ascii="仿宋" w:hAnsi="仿宋" w:eastAsia="仿宋"/>
          <w:b/>
          <w:sz w:val="28"/>
          <w:szCs w:val="28"/>
        </w:rPr>
        <w:t>十三、</w:t>
      </w:r>
      <w:r>
        <w:rPr>
          <w:rFonts w:ascii="仿宋" w:hAnsi="仿宋" w:eastAsia="仿宋"/>
          <w:b/>
          <w:sz w:val="28"/>
          <w:szCs w:val="28"/>
        </w:rPr>
        <w:t>必读书目</w:t>
      </w:r>
    </w:p>
    <w:tbl>
      <w:tblPr>
        <w:tblStyle w:val="8"/>
        <w:tblW w:w="9700" w:type="dxa"/>
        <w:jc w:val="center"/>
        <w:tblLayout w:type="fixed"/>
        <w:tblCellMar>
          <w:top w:w="0" w:type="dxa"/>
          <w:left w:w="108" w:type="dxa"/>
          <w:bottom w:w="0" w:type="dxa"/>
          <w:right w:w="108" w:type="dxa"/>
        </w:tblCellMar>
      </w:tblPr>
      <w:tblGrid>
        <w:gridCol w:w="714"/>
        <w:gridCol w:w="2251"/>
        <w:gridCol w:w="3261"/>
        <w:gridCol w:w="2126"/>
        <w:gridCol w:w="1348"/>
      </w:tblGrid>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0"/>
                <w:szCs w:val="20"/>
              </w:rPr>
            </w:pPr>
            <w:bookmarkStart w:id="2" w:name="OLE_LINK2"/>
            <w:r>
              <w:rPr>
                <w:rFonts w:hint="eastAsia" w:ascii="仿宋" w:hAnsi="仿宋" w:eastAsia="仿宋" w:cs="宋体"/>
                <w:b/>
                <w:bCs/>
                <w:kern w:val="0"/>
                <w:sz w:val="20"/>
                <w:szCs w:val="20"/>
              </w:rPr>
              <w:t>序号</w:t>
            </w:r>
          </w:p>
        </w:tc>
        <w:tc>
          <w:tcPr>
            <w:tcW w:w="22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书名</w:t>
            </w:r>
          </w:p>
        </w:tc>
        <w:tc>
          <w:tcPr>
            <w:tcW w:w="326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作者</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出版社</w:t>
            </w:r>
          </w:p>
        </w:tc>
        <w:tc>
          <w:tcPr>
            <w:tcW w:w="134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 w:hAnsi="仿宋" w:eastAsia="仿宋" w:cs="宋体"/>
                <w:b/>
                <w:bCs/>
                <w:kern w:val="0"/>
                <w:sz w:val="20"/>
                <w:szCs w:val="20"/>
              </w:rPr>
            </w:pPr>
            <w:r>
              <w:rPr>
                <w:rFonts w:hint="eastAsia" w:ascii="仿宋" w:hAnsi="仿宋" w:eastAsia="仿宋" w:cs="宋体"/>
                <w:b/>
                <w:bCs/>
                <w:kern w:val="0"/>
                <w:sz w:val="20"/>
                <w:szCs w:val="20"/>
              </w:rPr>
              <w:t>出版日期</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电影艺术：形式与风格</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（美）大卫·波德维尔</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世界图书出版公司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2008</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表征——文化意象与意指实践</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(英）斯图尔特·霍尔</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商务印书馆</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2003</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3</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虚拟现实：最后的传播</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聂有兵</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中国发展出版社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2017</w:t>
            </w:r>
            <w:r>
              <w:rPr>
                <w:rFonts w:hint="eastAsia" w:ascii="仿宋" w:hAnsi="仿宋" w:eastAsia="仿宋" w:cs="宋体"/>
                <w:kern w:val="0"/>
                <w:sz w:val="20"/>
                <w:szCs w:val="20"/>
              </w:rPr>
              <w:t>年</w:t>
            </w:r>
            <w:r>
              <w:rPr>
                <w:rFonts w:hint="eastAsia" w:eastAsia="仿宋" w:cs="宋体"/>
                <w:kern w:val="0"/>
                <w:sz w:val="20"/>
                <w:szCs w:val="20"/>
              </w:rPr>
              <w:t>4</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4</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Steve</w:t>
            </w:r>
            <w:r>
              <w:rPr>
                <w:rFonts w:hint="eastAsia" w:ascii="仿宋" w:hAnsi="仿宋" w:eastAsia="仿宋" w:cs="宋体"/>
                <w:kern w:val="0"/>
                <w:sz w:val="20"/>
                <w:szCs w:val="20"/>
              </w:rPr>
              <w:t xml:space="preserve"> </w:t>
            </w:r>
            <w:r>
              <w:rPr>
                <w:rFonts w:hint="eastAsia" w:eastAsia="仿宋" w:cs="宋体"/>
                <w:kern w:val="0"/>
                <w:sz w:val="20"/>
                <w:szCs w:val="20"/>
              </w:rPr>
              <w:t>Jobs</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Walter</w:t>
            </w:r>
            <w:r>
              <w:rPr>
                <w:rFonts w:hint="eastAsia" w:ascii="仿宋" w:hAnsi="仿宋" w:eastAsia="仿宋" w:cs="宋体"/>
                <w:kern w:val="0"/>
                <w:sz w:val="20"/>
                <w:szCs w:val="20"/>
              </w:rPr>
              <w:t xml:space="preserve"> </w:t>
            </w:r>
            <w:r>
              <w:rPr>
                <w:rFonts w:hint="eastAsia" w:eastAsia="仿宋" w:cs="宋体"/>
                <w:kern w:val="0"/>
                <w:sz w:val="20"/>
                <w:szCs w:val="20"/>
              </w:rPr>
              <w:t>Isaacson</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New</w:t>
            </w:r>
            <w:r>
              <w:rPr>
                <w:rFonts w:hint="eastAsia" w:ascii="仿宋" w:hAnsi="仿宋" w:eastAsia="仿宋" w:cs="宋体"/>
                <w:kern w:val="0"/>
                <w:sz w:val="20"/>
                <w:szCs w:val="20"/>
              </w:rPr>
              <w:t xml:space="preserve"> </w:t>
            </w:r>
            <w:r>
              <w:rPr>
                <w:rFonts w:hint="eastAsia" w:eastAsia="仿宋" w:cs="宋体"/>
                <w:kern w:val="0"/>
                <w:sz w:val="20"/>
                <w:szCs w:val="20"/>
              </w:rPr>
              <w:t>York</w:t>
            </w:r>
            <w:r>
              <w:rPr>
                <w:rFonts w:hint="eastAsia" w:ascii="仿宋" w:hAnsi="仿宋" w:eastAsia="仿宋" w:cs="宋体"/>
                <w:kern w:val="0"/>
                <w:sz w:val="20"/>
                <w:szCs w:val="20"/>
              </w:rPr>
              <w:t xml:space="preserve"> : </w:t>
            </w:r>
            <w:r>
              <w:rPr>
                <w:rFonts w:hint="eastAsia" w:eastAsia="仿宋" w:cs="宋体"/>
                <w:kern w:val="0"/>
                <w:sz w:val="20"/>
                <w:szCs w:val="20"/>
              </w:rPr>
              <w:t>Simon</w:t>
            </w:r>
            <w:r>
              <w:rPr>
                <w:rFonts w:hint="eastAsia" w:ascii="仿宋" w:hAnsi="仿宋" w:eastAsia="仿宋" w:cs="宋体"/>
                <w:kern w:val="0"/>
                <w:sz w:val="20"/>
                <w:szCs w:val="20"/>
              </w:rPr>
              <w:t xml:space="preserve"> &amp; </w:t>
            </w:r>
            <w:r>
              <w:rPr>
                <w:rFonts w:hint="eastAsia" w:eastAsia="仿宋" w:cs="宋体"/>
                <w:kern w:val="0"/>
                <w:sz w:val="20"/>
                <w:szCs w:val="20"/>
              </w:rPr>
              <w:t>Schuster</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2011</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5</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西方文论经典</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高建平、丁国旗</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安徽文艺出版社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2014</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 w:hAnsi="仿宋" w:eastAsia="仿宋" w:cs="宋体"/>
                <w:kern w:val="0"/>
                <w:sz w:val="20"/>
                <w:szCs w:val="20"/>
                <w:lang w:val="en-US" w:eastAsia="zh-CN"/>
              </w:rPr>
            </w:pPr>
            <w:r>
              <w:rPr>
                <w:rFonts w:hint="eastAsia" w:ascii="仿宋" w:hAnsi="仿宋" w:eastAsia="仿宋" w:cs="宋体"/>
                <w:kern w:val="0"/>
                <w:sz w:val="20"/>
                <w:szCs w:val="20"/>
                <w:lang w:val="en-US" w:eastAsia="zh-CN"/>
              </w:rPr>
              <w:t>6</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Video</w:t>
            </w:r>
            <w:r>
              <w:rPr>
                <w:rFonts w:hint="eastAsia" w:ascii="仿宋" w:hAnsi="仿宋" w:eastAsia="仿宋" w:cs="宋体"/>
                <w:kern w:val="0"/>
                <w:sz w:val="20"/>
                <w:szCs w:val="20"/>
              </w:rPr>
              <w:t xml:space="preserve"> </w:t>
            </w:r>
            <w:r>
              <w:rPr>
                <w:rFonts w:hint="eastAsia" w:eastAsia="仿宋" w:cs="宋体"/>
                <w:kern w:val="0"/>
                <w:sz w:val="20"/>
                <w:szCs w:val="20"/>
              </w:rPr>
              <w:t>Production</w:t>
            </w:r>
            <w:r>
              <w:rPr>
                <w:rFonts w:hint="eastAsia" w:ascii="仿宋" w:hAnsi="仿宋" w:eastAsia="仿宋" w:cs="宋体"/>
                <w:kern w:val="0"/>
                <w:sz w:val="20"/>
                <w:szCs w:val="20"/>
              </w:rPr>
              <w:t xml:space="preserve">: </w:t>
            </w:r>
            <w:r>
              <w:rPr>
                <w:rFonts w:hint="eastAsia" w:eastAsia="仿宋" w:cs="宋体"/>
                <w:kern w:val="0"/>
                <w:sz w:val="20"/>
                <w:szCs w:val="20"/>
              </w:rPr>
              <w:t>Disciplines</w:t>
            </w:r>
            <w:r>
              <w:rPr>
                <w:rFonts w:hint="eastAsia" w:ascii="仿宋" w:hAnsi="仿宋" w:eastAsia="仿宋" w:cs="宋体"/>
                <w:kern w:val="0"/>
                <w:sz w:val="20"/>
                <w:szCs w:val="20"/>
              </w:rPr>
              <w:t xml:space="preserve"> </w:t>
            </w:r>
            <w:r>
              <w:rPr>
                <w:rFonts w:hint="eastAsia" w:eastAsia="仿宋" w:cs="宋体"/>
                <w:kern w:val="0"/>
                <w:sz w:val="20"/>
                <w:szCs w:val="20"/>
              </w:rPr>
              <w:t>and</w:t>
            </w:r>
            <w:r>
              <w:rPr>
                <w:rFonts w:hint="eastAsia" w:ascii="仿宋" w:hAnsi="仿宋" w:eastAsia="仿宋" w:cs="宋体"/>
                <w:kern w:val="0"/>
                <w:sz w:val="20"/>
                <w:szCs w:val="20"/>
              </w:rPr>
              <w:t xml:space="preserve"> </w:t>
            </w:r>
            <w:r>
              <w:rPr>
                <w:rFonts w:hint="eastAsia" w:eastAsia="仿宋" w:cs="宋体"/>
                <w:kern w:val="0"/>
                <w:sz w:val="20"/>
                <w:szCs w:val="20"/>
              </w:rPr>
              <w:t>Techniques</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Jim</w:t>
            </w:r>
            <w:r>
              <w:rPr>
                <w:rFonts w:hint="eastAsia" w:ascii="仿宋" w:hAnsi="仿宋" w:eastAsia="仿宋" w:cs="宋体"/>
                <w:kern w:val="0"/>
                <w:sz w:val="20"/>
                <w:szCs w:val="20"/>
              </w:rPr>
              <w:t xml:space="preserve"> </w:t>
            </w:r>
            <w:r>
              <w:rPr>
                <w:rFonts w:hint="eastAsia" w:eastAsia="仿宋" w:cs="宋体"/>
                <w:kern w:val="0"/>
                <w:sz w:val="20"/>
                <w:szCs w:val="20"/>
              </w:rPr>
              <w:t>Foust</w:t>
            </w:r>
            <w:r>
              <w:rPr>
                <w:rFonts w:hint="eastAsia" w:ascii="仿宋" w:hAnsi="仿宋" w:eastAsia="仿宋" w:cs="宋体"/>
                <w:kern w:val="0"/>
                <w:sz w:val="20"/>
                <w:szCs w:val="20"/>
              </w:rPr>
              <w:t>,</w:t>
            </w:r>
            <w:r>
              <w:rPr>
                <w:rFonts w:hint="eastAsia" w:ascii="宋体" w:hAnsi="宋体" w:cs="宋体"/>
                <w:kern w:val="0"/>
                <w:sz w:val="20"/>
                <w:szCs w:val="20"/>
              </w:rPr>
              <w:t> </w:t>
            </w:r>
            <w:r>
              <w:rPr>
                <w:rFonts w:hint="eastAsia" w:eastAsia="仿宋" w:cs="仿宋"/>
                <w:kern w:val="0"/>
                <w:sz w:val="20"/>
                <w:szCs w:val="20"/>
              </w:rPr>
              <w:t>Edward</w:t>
            </w:r>
            <w:r>
              <w:rPr>
                <w:rFonts w:hint="eastAsia" w:ascii="仿宋" w:hAnsi="仿宋" w:eastAsia="仿宋" w:cs="仿宋"/>
                <w:kern w:val="0"/>
                <w:sz w:val="20"/>
                <w:szCs w:val="20"/>
              </w:rPr>
              <w:t xml:space="preserve"> </w:t>
            </w:r>
            <w:r>
              <w:rPr>
                <w:rFonts w:hint="eastAsia" w:eastAsia="仿宋" w:cs="仿宋"/>
                <w:kern w:val="0"/>
                <w:sz w:val="20"/>
                <w:szCs w:val="20"/>
              </w:rPr>
              <w:t>J</w:t>
            </w:r>
            <w:r>
              <w:rPr>
                <w:rFonts w:hint="eastAsia" w:ascii="仿宋" w:hAnsi="仿宋" w:eastAsia="仿宋" w:cs="仿宋"/>
                <w:kern w:val="0"/>
                <w:sz w:val="20"/>
                <w:szCs w:val="20"/>
              </w:rPr>
              <w:t xml:space="preserve">. </w:t>
            </w:r>
            <w:r>
              <w:rPr>
                <w:rFonts w:hint="eastAsia" w:eastAsia="仿宋" w:cs="仿宋"/>
                <w:kern w:val="0"/>
                <w:sz w:val="20"/>
                <w:szCs w:val="20"/>
              </w:rPr>
              <w:t>Fink</w:t>
            </w:r>
            <w:r>
              <w:rPr>
                <w:rFonts w:hint="eastAsia" w:ascii="仿宋" w:hAnsi="仿宋" w:eastAsia="仿宋" w:cs="仿宋"/>
                <w:kern w:val="0"/>
                <w:sz w:val="20"/>
                <w:szCs w:val="20"/>
              </w:rPr>
              <w:t>,</w:t>
            </w:r>
            <w:r>
              <w:rPr>
                <w:rFonts w:hint="eastAsia" w:ascii="宋体" w:hAnsi="宋体" w:cs="宋体"/>
                <w:kern w:val="0"/>
                <w:sz w:val="20"/>
                <w:szCs w:val="20"/>
              </w:rPr>
              <w:t> </w:t>
            </w:r>
            <w:r>
              <w:rPr>
                <w:rFonts w:hint="eastAsia" w:eastAsia="仿宋" w:cs="仿宋"/>
                <w:kern w:val="0"/>
                <w:sz w:val="20"/>
                <w:szCs w:val="20"/>
              </w:rPr>
              <w:t>Lynne</w:t>
            </w:r>
            <w:r>
              <w:rPr>
                <w:rFonts w:hint="eastAsia" w:ascii="仿宋" w:hAnsi="仿宋" w:eastAsia="仿宋" w:cs="仿宋"/>
                <w:kern w:val="0"/>
                <w:sz w:val="20"/>
                <w:szCs w:val="20"/>
              </w:rPr>
              <w:t xml:space="preserve"> </w:t>
            </w:r>
            <w:r>
              <w:rPr>
                <w:rFonts w:hint="eastAsia" w:eastAsia="仿宋" w:cs="仿宋"/>
                <w:kern w:val="0"/>
                <w:sz w:val="20"/>
                <w:szCs w:val="20"/>
              </w:rPr>
              <w:t>Gross</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Routledge</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2017</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7</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真相——信息超载时代如何知道该相信什么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（美）比尔·科瓦奇、汤姆·罗森斯蒂尔</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中国人民大学出版社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2014</w:t>
            </w:r>
            <w:r>
              <w:rPr>
                <w:rFonts w:hint="eastAsia" w:ascii="仿宋" w:hAnsi="仿宋" w:eastAsia="仿宋" w:cs="宋体"/>
                <w:kern w:val="0"/>
                <w:sz w:val="20"/>
                <w:szCs w:val="20"/>
              </w:rPr>
              <w:t>年</w:t>
            </w:r>
            <w:r>
              <w:rPr>
                <w:rFonts w:hint="eastAsia" w:eastAsia="仿宋" w:cs="宋体"/>
                <w:kern w:val="0"/>
                <w:sz w:val="20"/>
                <w:szCs w:val="20"/>
              </w:rPr>
              <w:t>3</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8</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文化理论与大众文化导论（第七版）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（英）约翰·斯道雷</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2019</w:t>
            </w:r>
            <w:r>
              <w:rPr>
                <w:rFonts w:hint="eastAsia" w:ascii="仿宋" w:hAnsi="仿宋" w:eastAsia="仿宋" w:cs="宋体"/>
                <w:kern w:val="0"/>
                <w:sz w:val="20"/>
                <w:szCs w:val="20"/>
              </w:rPr>
              <w:t>年</w:t>
            </w:r>
            <w:r>
              <w:rPr>
                <w:rFonts w:hint="eastAsia" w:eastAsia="仿宋" w:cs="宋体"/>
                <w:kern w:val="0"/>
                <w:sz w:val="20"/>
                <w:szCs w:val="20"/>
              </w:rPr>
              <w:t>1</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9</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超越套路的剧作法</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（美）肯·丹西格、杰夫·拉什</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后浪</w:t>
            </w:r>
            <w:r>
              <w:rPr>
                <w:rFonts w:hint="eastAsia" w:ascii="宋体" w:hAnsi="宋体" w:cs="宋体"/>
                <w:kern w:val="0"/>
                <w:sz w:val="20"/>
                <w:szCs w:val="20"/>
              </w:rPr>
              <w:t>•</w:t>
            </w:r>
            <w:r>
              <w:rPr>
                <w:rFonts w:hint="eastAsia" w:ascii="仿宋" w:hAnsi="仿宋" w:eastAsia="仿宋" w:cs="宋体"/>
                <w:kern w:val="0"/>
                <w:sz w:val="20"/>
                <w:szCs w:val="20"/>
              </w:rPr>
              <w:t>世界图书出版公司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2013</w:t>
            </w:r>
            <w:r>
              <w:rPr>
                <w:rFonts w:hint="eastAsia" w:ascii="仿宋" w:hAnsi="仿宋" w:eastAsia="仿宋" w:cs="宋体"/>
                <w:kern w:val="0"/>
                <w:sz w:val="20"/>
                <w:szCs w:val="20"/>
              </w:rPr>
              <w:t>年</w:t>
            </w:r>
            <w:r>
              <w:rPr>
                <w:rFonts w:hint="eastAsia" w:eastAsia="仿宋" w:cs="宋体"/>
                <w:kern w:val="0"/>
                <w:sz w:val="20"/>
                <w:szCs w:val="20"/>
              </w:rPr>
              <w:t>6</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10</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编剧的艺术</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（美）拉约什·埃格里</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北京联合出版公司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2013</w:t>
            </w:r>
            <w:r>
              <w:rPr>
                <w:rFonts w:hint="eastAsia" w:ascii="仿宋" w:hAnsi="仿宋" w:eastAsia="仿宋" w:cs="宋体"/>
                <w:kern w:val="0"/>
                <w:sz w:val="20"/>
                <w:szCs w:val="20"/>
              </w:rPr>
              <w:t>年</w:t>
            </w:r>
            <w:r>
              <w:rPr>
                <w:rFonts w:hint="eastAsia" w:eastAsia="仿宋" w:cs="宋体"/>
                <w:kern w:val="0"/>
                <w:sz w:val="20"/>
                <w:szCs w:val="20"/>
              </w:rPr>
              <w:t>6</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11</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纪录片导论（第</w:t>
            </w:r>
            <w:r>
              <w:rPr>
                <w:rFonts w:hint="eastAsia" w:eastAsia="仿宋" w:cs="宋体"/>
                <w:kern w:val="0"/>
                <w:sz w:val="20"/>
                <w:szCs w:val="20"/>
              </w:rPr>
              <w:t>2</w:t>
            </w:r>
            <w:r>
              <w:rPr>
                <w:rFonts w:hint="eastAsia" w:ascii="仿宋" w:hAnsi="仿宋" w:eastAsia="仿宋" w:cs="宋体"/>
                <w:kern w:val="0"/>
                <w:sz w:val="20"/>
                <w:szCs w:val="20"/>
              </w:rPr>
              <w:t>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（美）比尔.尼科尔斯</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中国电影出版社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2016</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12</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认识电影（第</w:t>
            </w:r>
            <w:r>
              <w:rPr>
                <w:rFonts w:hint="eastAsia" w:eastAsia="仿宋" w:cs="宋体"/>
                <w:kern w:val="0"/>
                <w:sz w:val="20"/>
                <w:szCs w:val="20"/>
              </w:rPr>
              <w:t>12</w:t>
            </w:r>
            <w:r>
              <w:rPr>
                <w:rFonts w:hint="eastAsia" w:ascii="仿宋" w:hAnsi="仿宋" w:eastAsia="仿宋" w:cs="宋体"/>
                <w:kern w:val="0"/>
                <w:sz w:val="20"/>
                <w:szCs w:val="20"/>
              </w:rPr>
              <w:t>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（美）路易斯·贾内梯，焦雄屏译</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后浪·北京联合出版公司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2016</w:t>
            </w:r>
            <w:r>
              <w:rPr>
                <w:rFonts w:hint="eastAsia" w:ascii="仿宋" w:hAnsi="仿宋" w:eastAsia="仿宋" w:cs="宋体"/>
                <w:kern w:val="0"/>
                <w:sz w:val="20"/>
                <w:szCs w:val="20"/>
              </w:rPr>
              <w:t>年</w:t>
            </w:r>
            <w:r>
              <w:rPr>
                <w:rFonts w:hint="eastAsia" w:eastAsia="仿宋" w:cs="宋体"/>
                <w:kern w:val="0"/>
                <w:sz w:val="20"/>
                <w:szCs w:val="20"/>
              </w:rPr>
              <w:t>9</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13</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电影镜头设计——从构思到银幕（第</w:t>
            </w:r>
            <w:r>
              <w:rPr>
                <w:rFonts w:hint="eastAsia" w:eastAsia="仿宋" w:cs="宋体"/>
                <w:kern w:val="0"/>
                <w:sz w:val="20"/>
                <w:szCs w:val="20"/>
              </w:rPr>
              <w:t>2</w:t>
            </w:r>
            <w:r>
              <w:rPr>
                <w:rFonts w:hint="eastAsia" w:ascii="仿宋" w:hAnsi="仿宋" w:eastAsia="仿宋" w:cs="宋体"/>
                <w:kern w:val="0"/>
                <w:sz w:val="20"/>
                <w:szCs w:val="20"/>
              </w:rPr>
              <w:t>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（美）史蒂文卡茨， 井迎兆、王旭锋译</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后浪·北京联合出版公司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2015</w:t>
            </w:r>
            <w:r>
              <w:rPr>
                <w:rFonts w:hint="eastAsia" w:ascii="仿宋" w:hAnsi="仿宋" w:eastAsia="仿宋" w:cs="宋体"/>
                <w:kern w:val="0"/>
                <w:sz w:val="20"/>
                <w:szCs w:val="20"/>
              </w:rPr>
              <w:t>年</w:t>
            </w:r>
            <w:r>
              <w:rPr>
                <w:rFonts w:hint="eastAsia" w:eastAsia="仿宋" w:cs="宋体"/>
                <w:kern w:val="0"/>
                <w:sz w:val="20"/>
                <w:szCs w:val="20"/>
              </w:rPr>
              <w:t>10</w:t>
            </w:r>
            <w:r>
              <w:rPr>
                <w:rFonts w:hint="eastAsia" w:ascii="仿宋" w:hAnsi="仿宋" w:eastAsia="仿宋" w:cs="宋体"/>
                <w:kern w:val="0"/>
                <w:sz w:val="20"/>
                <w:szCs w:val="20"/>
              </w:rPr>
              <w:t>月</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14</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纪录片也要讲故事</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（美）希拉·柯伦·伯纳德</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北京联合出版公司</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2015</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15</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故事 : 材质、结构、风格和银幕剧作的原理</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（美）罗伯特.麦基</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中国电影出版社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2001</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16</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网络社会的崛起</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（美）曼纽尔</w:t>
            </w:r>
            <w:r>
              <w:rPr>
                <w:rFonts w:hint="eastAsia" w:ascii="宋体" w:hAnsi="宋体" w:cs="宋体"/>
                <w:kern w:val="0"/>
                <w:sz w:val="20"/>
                <w:szCs w:val="20"/>
              </w:rPr>
              <w:t>•</w:t>
            </w:r>
            <w:r>
              <w:rPr>
                <w:rFonts w:hint="eastAsia" w:ascii="仿宋" w:hAnsi="仿宋" w:eastAsia="仿宋" w:cs="仿宋"/>
                <w:kern w:val="0"/>
                <w:sz w:val="20"/>
                <w:szCs w:val="20"/>
              </w:rPr>
              <w:t>卡斯特；夏铸九、</w:t>
            </w:r>
            <w:r>
              <w:rPr>
                <w:rFonts w:hint="eastAsia" w:ascii="仿宋" w:hAnsi="仿宋" w:eastAsia="仿宋" w:cs="宋体"/>
                <w:kern w:val="0"/>
                <w:sz w:val="20"/>
                <w:szCs w:val="20"/>
              </w:rPr>
              <w:t xml:space="preserve"> 王志弘等译</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社会科学文献出版</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2001</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17</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文化理论与通俗文化导论</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（英）约翰·斯道雷；杨竹山等译</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南京大学出版社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2006</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18</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新媒介：关键概念</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（英）尼古拉斯·盖恩、戴维·比尔；刘君、周竞男译</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复旦大学出版社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2015</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19</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电影表意范论</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（法）克里斯蒂安.麦茨</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商务印书馆</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2018</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20</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中国电视文艺发展史</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仲呈祥</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中国电影出版社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2014</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21</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中国广播文艺学</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张凤铸</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北京广播学院出版社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2005</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22</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中国电视艺术发展史</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钟艺兵</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浙江人民出版社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1994</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23</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电视采访（第</w:t>
            </w:r>
            <w:r>
              <w:rPr>
                <w:rFonts w:hint="eastAsia" w:eastAsia="仿宋" w:cs="宋体"/>
                <w:kern w:val="0"/>
                <w:sz w:val="20"/>
                <w:szCs w:val="20"/>
              </w:rPr>
              <w:t>2</w:t>
            </w:r>
            <w:r>
              <w:rPr>
                <w:rFonts w:hint="eastAsia" w:ascii="仿宋" w:hAnsi="仿宋" w:eastAsia="仿宋" w:cs="宋体"/>
                <w:kern w:val="0"/>
                <w:sz w:val="20"/>
                <w:szCs w:val="20"/>
              </w:rPr>
              <w:t>版）</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曾祥敏</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中国传媒大学出版社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2010</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24</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视听：幻觉的构建</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希翁</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北京联合出版社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2014</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25</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世界电影理论思潮</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游飞、蔡卫</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中国广播电视出版社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2002</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26</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电视艺术学</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欧阳宏生</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北京大学出版社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2011</w:t>
            </w:r>
            <w:r>
              <w:rPr>
                <w:rFonts w:hint="eastAsia" w:ascii="仿宋" w:hAnsi="仿宋"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宋体"/>
                <w:kern w:val="0"/>
                <w:sz w:val="20"/>
                <w:szCs w:val="20"/>
              </w:rPr>
            </w:pPr>
            <w:r>
              <w:rPr>
                <w:rFonts w:hint="eastAsia" w:eastAsia="仿宋" w:cs="宋体"/>
                <w:kern w:val="0"/>
                <w:sz w:val="20"/>
                <w:szCs w:val="20"/>
              </w:rPr>
              <w:t>27</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必然</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（美）凯文·凯利</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电子工业出版社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eastAsia="仿宋" w:cs="宋体"/>
                <w:kern w:val="0"/>
                <w:sz w:val="20"/>
                <w:szCs w:val="20"/>
              </w:rPr>
              <w:t>2</w:t>
            </w:r>
            <w:r>
              <w:rPr>
                <w:rFonts w:eastAsia="仿宋" w:cs="宋体"/>
                <w:kern w:val="0"/>
                <w:sz w:val="20"/>
                <w:szCs w:val="20"/>
              </w:rPr>
              <w:t>016</w:t>
            </w:r>
            <w:r>
              <w:rPr>
                <w:rFonts w:hint="eastAsia"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s="宋体"/>
                <w:kern w:val="0"/>
                <w:sz w:val="20"/>
                <w:szCs w:val="20"/>
              </w:rPr>
            </w:pPr>
            <w:r>
              <w:rPr>
                <w:rFonts w:hint="eastAsia" w:eastAsia="仿宋" w:cs="宋体"/>
                <w:kern w:val="0"/>
                <w:sz w:val="20"/>
                <w:szCs w:val="20"/>
              </w:rPr>
              <w:t>2</w:t>
            </w:r>
            <w:r>
              <w:rPr>
                <w:rFonts w:eastAsia="仿宋" w:cs="宋体"/>
                <w:kern w:val="0"/>
                <w:sz w:val="20"/>
                <w:szCs w:val="20"/>
              </w:rPr>
              <w:t>8</w:t>
            </w:r>
          </w:p>
        </w:tc>
        <w:tc>
          <w:tcPr>
            <w:tcW w:w="22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从0到1</w:t>
            </w:r>
          </w:p>
        </w:tc>
        <w:tc>
          <w:tcPr>
            <w:tcW w:w="326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（美）彼得·蒂尔</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中信出版社</w:t>
            </w:r>
          </w:p>
        </w:tc>
        <w:tc>
          <w:tcPr>
            <w:tcW w:w="13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 w:cs="宋体"/>
                <w:kern w:val="0"/>
                <w:sz w:val="20"/>
                <w:szCs w:val="20"/>
              </w:rPr>
            </w:pPr>
            <w:r>
              <w:rPr>
                <w:rFonts w:hint="eastAsia" w:eastAsia="仿宋" w:cs="宋体"/>
                <w:kern w:val="0"/>
                <w:sz w:val="20"/>
                <w:szCs w:val="20"/>
              </w:rPr>
              <w:t>2</w:t>
            </w:r>
            <w:r>
              <w:rPr>
                <w:rFonts w:eastAsia="仿宋" w:cs="宋体"/>
                <w:kern w:val="0"/>
                <w:sz w:val="20"/>
                <w:szCs w:val="20"/>
              </w:rPr>
              <w:t>015</w:t>
            </w:r>
            <w:r>
              <w:rPr>
                <w:rFonts w:hint="eastAsia"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eastAsia="仿宋" w:cs="宋体"/>
                <w:kern w:val="0"/>
                <w:sz w:val="20"/>
                <w:szCs w:val="20"/>
              </w:rPr>
            </w:pPr>
            <w:r>
              <w:rPr>
                <w:rFonts w:hint="eastAsia" w:eastAsia="仿宋" w:cs="宋体"/>
                <w:kern w:val="0"/>
                <w:sz w:val="20"/>
                <w:szCs w:val="20"/>
              </w:rPr>
              <w:t>2</w:t>
            </w:r>
            <w:r>
              <w:rPr>
                <w:rFonts w:eastAsia="仿宋" w:cs="宋体"/>
                <w:kern w:val="0"/>
                <w:sz w:val="20"/>
                <w:szCs w:val="20"/>
              </w:rPr>
              <w:t>9</w:t>
            </w:r>
          </w:p>
        </w:tc>
        <w:tc>
          <w:tcPr>
            <w:tcW w:w="225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让大象飞</w:t>
            </w:r>
          </w:p>
        </w:tc>
        <w:tc>
          <w:tcPr>
            <w:tcW w:w="3261"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（美）史蒂文·霍夫曼</w:t>
            </w:r>
          </w:p>
        </w:tc>
        <w:tc>
          <w:tcPr>
            <w:tcW w:w="2126" w:type="dxa"/>
            <w:tcBorders>
              <w:top w:val="nil"/>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中信出版社</w:t>
            </w:r>
          </w:p>
        </w:tc>
        <w:tc>
          <w:tcPr>
            <w:tcW w:w="1348" w:type="dxa"/>
            <w:tcBorders>
              <w:top w:val="nil"/>
              <w:left w:val="nil"/>
              <w:bottom w:val="single" w:color="auto" w:sz="4" w:space="0"/>
              <w:right w:val="single" w:color="auto" w:sz="4" w:space="0"/>
            </w:tcBorders>
            <w:vAlign w:val="center"/>
          </w:tcPr>
          <w:p>
            <w:pPr>
              <w:widowControl/>
              <w:spacing w:line="280" w:lineRule="exact"/>
              <w:jc w:val="left"/>
              <w:rPr>
                <w:rFonts w:eastAsia="仿宋" w:cs="宋体"/>
                <w:kern w:val="0"/>
                <w:sz w:val="20"/>
                <w:szCs w:val="20"/>
              </w:rPr>
            </w:pPr>
            <w:r>
              <w:rPr>
                <w:rFonts w:hint="eastAsia" w:eastAsia="仿宋" w:cs="宋体"/>
                <w:kern w:val="0"/>
                <w:sz w:val="20"/>
                <w:szCs w:val="20"/>
              </w:rPr>
              <w:t>2</w:t>
            </w:r>
            <w:r>
              <w:rPr>
                <w:rFonts w:eastAsia="仿宋" w:cs="宋体"/>
                <w:kern w:val="0"/>
                <w:sz w:val="20"/>
                <w:szCs w:val="20"/>
              </w:rPr>
              <w:t>017</w:t>
            </w:r>
            <w:r>
              <w:rPr>
                <w:rFonts w:hint="eastAsia" w:eastAsia="仿宋" w:cs="宋体"/>
                <w:kern w:val="0"/>
                <w:sz w:val="20"/>
                <w:szCs w:val="20"/>
              </w:rPr>
              <w:t>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s="宋体"/>
                <w:kern w:val="0"/>
                <w:sz w:val="20"/>
                <w:szCs w:val="20"/>
              </w:rPr>
            </w:pPr>
            <w:r>
              <w:rPr>
                <w:rFonts w:hint="eastAsia" w:eastAsia="仿宋" w:cs="宋体"/>
                <w:kern w:val="0"/>
                <w:sz w:val="20"/>
                <w:szCs w:val="20"/>
              </w:rPr>
              <w:t>3</w:t>
            </w:r>
            <w:r>
              <w:rPr>
                <w:rFonts w:eastAsia="仿宋" w:cs="宋体"/>
                <w:kern w:val="0"/>
                <w:sz w:val="20"/>
                <w:szCs w:val="20"/>
              </w:rPr>
              <w:t>0</w:t>
            </w:r>
          </w:p>
        </w:tc>
        <w:tc>
          <w:tcPr>
            <w:tcW w:w="22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创新者的窘境</w:t>
            </w:r>
          </w:p>
        </w:tc>
        <w:tc>
          <w:tcPr>
            <w:tcW w:w="326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（美）克莱顿·克里斯坦森</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中信出版社</w:t>
            </w:r>
          </w:p>
        </w:tc>
        <w:tc>
          <w:tcPr>
            <w:tcW w:w="13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 w:cs="宋体"/>
                <w:kern w:val="0"/>
                <w:sz w:val="20"/>
                <w:szCs w:val="20"/>
              </w:rPr>
            </w:pPr>
            <w:r>
              <w:rPr>
                <w:rFonts w:hint="eastAsia" w:eastAsia="仿宋" w:cs="宋体"/>
                <w:kern w:val="0"/>
                <w:sz w:val="20"/>
                <w:szCs w:val="20"/>
              </w:rPr>
              <w:t>2010年</w:t>
            </w:r>
          </w:p>
        </w:tc>
      </w:tr>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仿宋" w:cs="宋体"/>
                <w:kern w:val="0"/>
                <w:sz w:val="20"/>
                <w:szCs w:val="20"/>
              </w:rPr>
            </w:pPr>
            <w:r>
              <w:rPr>
                <w:rFonts w:hint="eastAsia" w:eastAsia="仿宋" w:cs="宋体"/>
                <w:kern w:val="0"/>
                <w:sz w:val="20"/>
                <w:szCs w:val="20"/>
              </w:rPr>
              <w:t>3</w:t>
            </w:r>
            <w:r>
              <w:rPr>
                <w:rFonts w:eastAsia="仿宋" w:cs="宋体"/>
                <w:kern w:val="0"/>
                <w:sz w:val="20"/>
                <w:szCs w:val="20"/>
              </w:rPr>
              <w:t>1</w:t>
            </w:r>
          </w:p>
        </w:tc>
        <w:tc>
          <w:tcPr>
            <w:tcW w:w="22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互动新闻</w:t>
            </w:r>
          </w:p>
        </w:tc>
        <w:tc>
          <w:tcPr>
            <w:tcW w:w="326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（美）尼基·厄舍</w:t>
            </w:r>
          </w:p>
        </w:tc>
        <w:tc>
          <w:tcPr>
            <w:tcW w:w="2126"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宋体"/>
                <w:kern w:val="0"/>
                <w:sz w:val="20"/>
                <w:szCs w:val="20"/>
              </w:rPr>
            </w:pPr>
            <w:r>
              <w:rPr>
                <w:rFonts w:hint="eastAsia" w:ascii="仿宋" w:hAnsi="仿宋" w:eastAsia="仿宋" w:cs="宋体"/>
                <w:kern w:val="0"/>
                <w:sz w:val="20"/>
                <w:szCs w:val="20"/>
              </w:rPr>
              <w:t>中国人民大学出版社</w:t>
            </w:r>
          </w:p>
        </w:tc>
        <w:tc>
          <w:tcPr>
            <w:tcW w:w="1348" w:type="dxa"/>
            <w:tcBorders>
              <w:top w:val="single" w:color="auto" w:sz="4" w:space="0"/>
              <w:left w:val="nil"/>
              <w:bottom w:val="single" w:color="auto" w:sz="4" w:space="0"/>
              <w:right w:val="single" w:color="auto" w:sz="4" w:space="0"/>
            </w:tcBorders>
            <w:vAlign w:val="center"/>
          </w:tcPr>
          <w:p>
            <w:pPr>
              <w:widowControl/>
              <w:spacing w:line="280" w:lineRule="exact"/>
              <w:jc w:val="left"/>
              <w:rPr>
                <w:rFonts w:eastAsia="仿宋" w:cs="宋体"/>
                <w:kern w:val="0"/>
                <w:sz w:val="20"/>
                <w:szCs w:val="20"/>
              </w:rPr>
            </w:pPr>
            <w:r>
              <w:rPr>
                <w:rFonts w:hint="eastAsia" w:eastAsia="仿宋" w:cs="宋体"/>
                <w:kern w:val="0"/>
                <w:sz w:val="20"/>
                <w:szCs w:val="20"/>
              </w:rPr>
              <w:t>2020年</w:t>
            </w:r>
          </w:p>
        </w:tc>
      </w:tr>
      <w:bookmarkEnd w:id="2"/>
    </w:tbl>
    <w:p>
      <w:pPr>
        <w:spacing w:line="460" w:lineRule="exact"/>
        <w:rPr>
          <w:rFonts w:ascii="仿宋" w:hAnsi="仿宋" w:eastAsia="仿宋"/>
          <w:b/>
          <w:sz w:val="28"/>
          <w:szCs w:val="28"/>
        </w:rPr>
      </w:pPr>
      <w:r>
        <w:rPr>
          <w:rFonts w:hint="eastAsia" w:ascii="仿宋" w:hAnsi="仿宋" w:eastAsia="仿宋"/>
          <w:b/>
          <w:sz w:val="28"/>
          <w:szCs w:val="28"/>
        </w:rPr>
        <w:t>十四、其他要求</w:t>
      </w:r>
    </w:p>
    <w:p>
      <w:pPr>
        <w:pStyle w:val="14"/>
        <w:spacing w:line="460" w:lineRule="exact"/>
        <w:ind w:left="480" w:firstLine="0" w:firstLineChars="0"/>
        <w:rPr>
          <w:rFonts w:ascii="仿宋" w:hAnsi="仿宋" w:eastAsia="仿宋" w:cs="宋体"/>
          <w:sz w:val="28"/>
          <w:szCs w:val="28"/>
        </w:rPr>
      </w:pPr>
      <w:r>
        <w:rPr>
          <w:rFonts w:hint="eastAsia" w:ascii="仿宋" w:hAnsi="仿宋" w:eastAsia="仿宋" w:cs="宋体"/>
          <w:sz w:val="28"/>
          <w:szCs w:val="28"/>
        </w:rPr>
        <w:t>本细则适用2022 级及以后艺术硕士（广播电视）专业学位硕士研究生。</w:t>
      </w: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482" w:firstLineChars="200"/>
        <w:rPr>
          <w:b/>
          <w:sz w:val="24"/>
          <w:szCs w:val="24"/>
        </w:rPr>
      </w:pPr>
    </w:p>
    <w:p>
      <w:pPr>
        <w:spacing w:line="460" w:lineRule="exact"/>
        <w:ind w:firstLine="3240" w:firstLineChars="1350"/>
        <w:rPr>
          <w:sz w:val="24"/>
        </w:rPr>
      </w:pPr>
    </w:p>
    <w:p>
      <w:pPr>
        <w:spacing w:line="460" w:lineRule="exact"/>
        <w:ind w:firstLine="3240" w:firstLineChars="1350"/>
        <w:rPr>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040BEC"/>
    <w:rsid w:val="00040BEC"/>
    <w:rsid w:val="00045B37"/>
    <w:rsid w:val="00091908"/>
    <w:rsid w:val="000E0E5E"/>
    <w:rsid w:val="00113434"/>
    <w:rsid w:val="00140C9E"/>
    <w:rsid w:val="00156E23"/>
    <w:rsid w:val="00176D6A"/>
    <w:rsid w:val="00185890"/>
    <w:rsid w:val="001B7279"/>
    <w:rsid w:val="002163CB"/>
    <w:rsid w:val="00281AEA"/>
    <w:rsid w:val="00294091"/>
    <w:rsid w:val="0029479C"/>
    <w:rsid w:val="002D34B6"/>
    <w:rsid w:val="002D7DF6"/>
    <w:rsid w:val="002E1679"/>
    <w:rsid w:val="00310E91"/>
    <w:rsid w:val="0032256D"/>
    <w:rsid w:val="00360C5A"/>
    <w:rsid w:val="00367037"/>
    <w:rsid w:val="00387E8E"/>
    <w:rsid w:val="003A1098"/>
    <w:rsid w:val="003A3305"/>
    <w:rsid w:val="00413C90"/>
    <w:rsid w:val="0043516E"/>
    <w:rsid w:val="00440269"/>
    <w:rsid w:val="00464588"/>
    <w:rsid w:val="004B540C"/>
    <w:rsid w:val="004E0740"/>
    <w:rsid w:val="005324DF"/>
    <w:rsid w:val="0056044A"/>
    <w:rsid w:val="00582FA4"/>
    <w:rsid w:val="005A7A39"/>
    <w:rsid w:val="005B02F8"/>
    <w:rsid w:val="005E71BD"/>
    <w:rsid w:val="005F635D"/>
    <w:rsid w:val="00621E3E"/>
    <w:rsid w:val="00655601"/>
    <w:rsid w:val="006A30F1"/>
    <w:rsid w:val="006D05AF"/>
    <w:rsid w:val="006D3B9A"/>
    <w:rsid w:val="00757EBA"/>
    <w:rsid w:val="00766B7A"/>
    <w:rsid w:val="007B4150"/>
    <w:rsid w:val="007C0D72"/>
    <w:rsid w:val="007C258F"/>
    <w:rsid w:val="007C4466"/>
    <w:rsid w:val="007E0447"/>
    <w:rsid w:val="007E4CD1"/>
    <w:rsid w:val="00854D6C"/>
    <w:rsid w:val="00894BED"/>
    <w:rsid w:val="008A370F"/>
    <w:rsid w:val="008C0961"/>
    <w:rsid w:val="008C4243"/>
    <w:rsid w:val="008D4B55"/>
    <w:rsid w:val="00900191"/>
    <w:rsid w:val="009904D0"/>
    <w:rsid w:val="00997C6E"/>
    <w:rsid w:val="009B41A0"/>
    <w:rsid w:val="00A00B3A"/>
    <w:rsid w:val="00A01B42"/>
    <w:rsid w:val="00A13F0A"/>
    <w:rsid w:val="00A20B0F"/>
    <w:rsid w:val="00A47C26"/>
    <w:rsid w:val="00A8515F"/>
    <w:rsid w:val="00B00845"/>
    <w:rsid w:val="00B16C1F"/>
    <w:rsid w:val="00B460EE"/>
    <w:rsid w:val="00B5532F"/>
    <w:rsid w:val="00C2763D"/>
    <w:rsid w:val="00C5072E"/>
    <w:rsid w:val="00C67A6D"/>
    <w:rsid w:val="00C76022"/>
    <w:rsid w:val="00C812A1"/>
    <w:rsid w:val="00C85EF7"/>
    <w:rsid w:val="00CA5145"/>
    <w:rsid w:val="00CD1A0F"/>
    <w:rsid w:val="00CE0C05"/>
    <w:rsid w:val="00D11CC0"/>
    <w:rsid w:val="00D23C63"/>
    <w:rsid w:val="00D40C15"/>
    <w:rsid w:val="00DD4E71"/>
    <w:rsid w:val="00E054FB"/>
    <w:rsid w:val="00E26020"/>
    <w:rsid w:val="00E57EA2"/>
    <w:rsid w:val="00E65D86"/>
    <w:rsid w:val="00EA2CC8"/>
    <w:rsid w:val="00EA5F00"/>
    <w:rsid w:val="00EB0B12"/>
    <w:rsid w:val="00F220ED"/>
    <w:rsid w:val="00F90E6A"/>
    <w:rsid w:val="00FB019D"/>
    <w:rsid w:val="00FB62A6"/>
    <w:rsid w:val="027B77D3"/>
    <w:rsid w:val="036B151D"/>
    <w:rsid w:val="0503137C"/>
    <w:rsid w:val="07E20E7C"/>
    <w:rsid w:val="0BB04102"/>
    <w:rsid w:val="0FBF07CB"/>
    <w:rsid w:val="0FC95DE4"/>
    <w:rsid w:val="11116598"/>
    <w:rsid w:val="13DC54F0"/>
    <w:rsid w:val="147B319A"/>
    <w:rsid w:val="15D6617A"/>
    <w:rsid w:val="18360984"/>
    <w:rsid w:val="1889357B"/>
    <w:rsid w:val="21057903"/>
    <w:rsid w:val="221E2893"/>
    <w:rsid w:val="228C233C"/>
    <w:rsid w:val="237E253B"/>
    <w:rsid w:val="23A4364A"/>
    <w:rsid w:val="24F14E90"/>
    <w:rsid w:val="251470D6"/>
    <w:rsid w:val="268A4282"/>
    <w:rsid w:val="2A6B0609"/>
    <w:rsid w:val="2C760A7D"/>
    <w:rsid w:val="2D0048D9"/>
    <w:rsid w:val="319D1290"/>
    <w:rsid w:val="320D6155"/>
    <w:rsid w:val="32AC4B93"/>
    <w:rsid w:val="342E1FE3"/>
    <w:rsid w:val="396A2120"/>
    <w:rsid w:val="39F83635"/>
    <w:rsid w:val="3D29255C"/>
    <w:rsid w:val="408006B0"/>
    <w:rsid w:val="42CF1EF9"/>
    <w:rsid w:val="45635E34"/>
    <w:rsid w:val="4E4A72B7"/>
    <w:rsid w:val="56093643"/>
    <w:rsid w:val="56557F1D"/>
    <w:rsid w:val="59572799"/>
    <w:rsid w:val="5D3CD2F6"/>
    <w:rsid w:val="5DB9526F"/>
    <w:rsid w:val="5E4E00B9"/>
    <w:rsid w:val="675C1991"/>
    <w:rsid w:val="69553B13"/>
    <w:rsid w:val="6E291E2C"/>
    <w:rsid w:val="6FF3A81D"/>
    <w:rsid w:val="7C2A356C"/>
    <w:rsid w:val="FDF78DA7"/>
    <w:rsid w:val="FF7E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semiHidden/>
    <w:unhideWhenUsed/>
    <w:qFormat/>
    <w:uiPriority w:val="99"/>
    <w:rPr>
      <w:sz w:val="24"/>
    </w:rPr>
  </w:style>
  <w:style w:type="character" w:styleId="10">
    <w:name w:val="FollowedHyperlink"/>
    <w:basedOn w:val="9"/>
    <w:unhideWhenUsed/>
    <w:qFormat/>
    <w:uiPriority w:val="99"/>
    <w:rPr>
      <w:color w:val="003366"/>
      <w:u w:val="single"/>
    </w:rPr>
  </w:style>
  <w:style w:type="character" w:styleId="11">
    <w:name w:val="Hyperlink"/>
    <w:basedOn w:val="9"/>
    <w:unhideWhenUsed/>
    <w:qFormat/>
    <w:uiPriority w:val="99"/>
    <w:rPr>
      <w:color w:val="003366"/>
      <w:u w:val="single"/>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List Paragraph"/>
    <w:basedOn w:val="1"/>
    <w:unhideWhenUsed/>
    <w:qFormat/>
    <w:uiPriority w:val="99"/>
    <w:pPr>
      <w:ind w:firstLine="420" w:firstLineChars="200"/>
    </w:pPr>
  </w:style>
  <w:style w:type="character" w:customStyle="1" w:styleId="15">
    <w:name w:val="批注框文本 Char"/>
    <w:basedOn w:val="9"/>
    <w:link w:val="3"/>
    <w:semiHidden/>
    <w:qFormat/>
    <w:uiPriority w:val="99"/>
    <w:rPr>
      <w:rFonts w:ascii="Calibri" w:hAnsi="Calibri" w:eastAsia="宋体" w:cs="Times New Roman"/>
      <w:kern w:val="2"/>
      <w:sz w:val="18"/>
      <w:szCs w:val="18"/>
    </w:rPr>
  </w:style>
  <w:style w:type="paragraph" w:customStyle="1" w:styleId="16">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
    <w:name w:val="active6"/>
    <w:basedOn w:val="9"/>
    <w:qFormat/>
    <w:uiPriority w:val="0"/>
    <w:rPr>
      <w:color w:val="FFFFFF"/>
    </w:rPr>
  </w:style>
  <w:style w:type="character" w:customStyle="1" w:styleId="18">
    <w:name w:val="item_main"/>
    <w:basedOn w:val="9"/>
    <w:qFormat/>
    <w:uiPriority w:val="0"/>
  </w:style>
  <w:style w:type="character" w:customStyle="1" w:styleId="19">
    <w:name w:val="active5"/>
    <w:basedOn w:val="9"/>
    <w:qFormat/>
    <w:uiPriority w:val="0"/>
    <w:rPr>
      <w:color w:val="FFFFFF"/>
    </w:rPr>
  </w:style>
  <w:style w:type="character" w:customStyle="1" w:styleId="20">
    <w:name w:val="active7"/>
    <w:basedOn w:val="9"/>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5260</Words>
  <Characters>6739</Characters>
  <Lines>53</Lines>
  <Paragraphs>14</Paragraphs>
  <TotalTime>2</TotalTime>
  <ScaleCrop>false</ScaleCrop>
  <LinksUpToDate>false</LinksUpToDate>
  <CharactersWithSpaces>6895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2022-05-16T19:22:00Z</dcterms:created>
  <dc:creator>郑桦</dc:creator>
  <cp:lastModifiedBy>晴天</cp:lastModifiedBy>
  <cp:lastPrinted>2022-05-18T17:48:00Z</cp:lastPrinted>
  <dcterms:modified xsi:type="dcterms:W3CDTF">2022-09-21T01:10:22Z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AA131432B3A345D4AD3F8577293A6CBC</vt:lpwstr>
  </property>
</Properties>
</file>